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b w:val="0"/>
        </w:rPr>
      </w:pPr>
      <w:r>
        <w:rPr/>
        <w:pict>
          <v:group style="position:absolute;margin-left:137.059998pt;margin-top:26.42pt;width:325.8pt;height:20.8pt;mso-position-horizontal-relative:page;mso-position-vertical-relative:paragraph;z-index:-15873024" coordorigin="2741,528" coordsize="6516,416">
            <v:shape style="position:absolute;left:2741;top:528;width:6424;height:416" coordorigin="2741,528" coordsize="6424,416" path="m9155,934l2751,934,2751,538,2741,538,2741,934,2741,944,2751,944,9155,944,9155,934xm9155,528l2751,528,2741,528,2741,538,2751,538,9155,538,9155,528xm9165,538l9156,538,9156,934,9156,944,9165,944,9165,934,9165,538xm9165,528l9156,528,9156,538,9165,538,9165,528xe" filled="true" fillcolor="#000000" stroked="false">
              <v:path arrowok="t"/>
              <v:fill type="solid"/>
            </v:shape>
            <v:shapetype id="_x0000_t202" o:spt="202" coordsize="21600,21600" path="m,l,21600r21600,l21600,xe">
              <v:stroke joinstyle="miter"/>
              <v:path gradientshapeok="t" o:connecttype="rect"/>
            </v:shapetype>
            <v:shape style="position:absolute;left:2741;top:528;width:6516;height:416" type="#_x0000_t202" filled="false" stroked="false">
              <v:textbox inset="0,0,0,0">
                <w:txbxContent>
                  <w:p>
                    <w:pPr>
                      <w:spacing w:line="415" w:lineRule="exact" w:before="0"/>
                      <w:ind w:left="9" w:right="0" w:firstLine="0"/>
                      <w:jc w:val="left"/>
                      <w:rPr>
                        <w:b w:val="0"/>
                        <w:sz w:val="32"/>
                      </w:rPr>
                    </w:pPr>
                    <w:r>
                      <w:rPr>
                        <w:b w:val="0"/>
                        <w:sz w:val="32"/>
                      </w:rPr>
                      <w:t>令和８年度曹洞宗一般会計歳入歳出予算決定 </w:t>
                    </w:r>
                  </w:p>
                </w:txbxContent>
              </v:textbox>
              <w10:wrap type="none"/>
            </v:shape>
            <w10:wrap type="none"/>
          </v:group>
        </w:pict>
      </w:r>
      <w:r>
        <w:rPr>
          <w:b w:val="0"/>
        </w:rPr>
        <w:t>第 １ ４ ９ 回 通 常 宗 議 会 速 報</w:t>
      </w:r>
      <w:r>
        <w:rPr>
          <w:b w:val="0"/>
          <w:spacing w:val="18"/>
        </w:rPr>
        <w:t> </w:t>
      </w:r>
      <w:r>
        <w:rPr>
          <w:b w:val="0"/>
        </w:rPr>
        <w:t> </w:t>
      </w:r>
    </w:p>
    <w:p>
      <w:pPr>
        <w:pStyle w:val="BodyText"/>
        <w:spacing w:before="10"/>
        <w:rPr>
          <w:b w:val="0"/>
          <w:sz w:val="12"/>
        </w:rPr>
      </w:pPr>
    </w:p>
    <w:p>
      <w:pPr>
        <w:spacing w:line="325" w:lineRule="exact" w:before="11"/>
        <w:ind w:left="0" w:right="274" w:firstLine="0"/>
        <w:jc w:val="center"/>
        <w:rPr>
          <w:b w:val="0"/>
          <w:sz w:val="22"/>
        </w:rPr>
      </w:pPr>
      <w:r>
        <w:rPr>
          <w:b w:val="0"/>
          <w:w w:val="100"/>
          <w:sz w:val="22"/>
        </w:rPr>
        <w:t> </w:t>
      </w:r>
    </w:p>
    <w:p>
      <w:pPr>
        <w:tabs>
          <w:tab w:pos="1922" w:val="left" w:leader="none"/>
        </w:tabs>
        <w:spacing w:line="430" w:lineRule="exact" w:before="0"/>
        <w:ind w:left="0" w:right="249" w:firstLine="0"/>
        <w:jc w:val="center"/>
        <w:rPr>
          <w:b w:val="0"/>
          <w:sz w:val="32"/>
        </w:rPr>
      </w:pPr>
      <w:r>
        <w:rPr>
          <w:b w:val="0"/>
          <w:sz w:val="32"/>
        </w:rPr>
        <w:t>級階賦課金</w:t>
        <w:tab/>
      </w:r>
      <w:r>
        <w:rPr>
          <w:b w:val="0"/>
          <w:sz w:val="32"/>
          <w:u w:val="double"/>
        </w:rPr>
        <w:t>1</w:t>
      </w:r>
      <w:r>
        <w:rPr>
          <w:b w:val="0"/>
          <w:spacing w:val="-13"/>
          <w:sz w:val="32"/>
          <w:u w:val="double"/>
        </w:rPr>
        <w:t> </w:t>
      </w:r>
      <w:r>
        <w:rPr>
          <w:b w:val="0"/>
          <w:sz w:val="32"/>
          <w:u w:val="double"/>
        </w:rPr>
        <w:t>点１４５円（令和</w:t>
      </w:r>
      <w:r>
        <w:rPr>
          <w:b w:val="0"/>
          <w:spacing w:val="-10"/>
          <w:sz w:val="32"/>
          <w:u w:val="double"/>
        </w:rPr>
        <w:t> </w:t>
      </w:r>
      <w:r>
        <w:rPr>
          <w:b w:val="0"/>
          <w:sz w:val="32"/>
          <w:u w:val="double"/>
        </w:rPr>
        <w:t>7</w:t>
      </w:r>
      <w:r>
        <w:rPr>
          <w:b w:val="0"/>
          <w:spacing w:val="-10"/>
          <w:sz w:val="32"/>
          <w:u w:val="double"/>
        </w:rPr>
        <w:t> </w:t>
      </w:r>
      <w:r>
        <w:rPr>
          <w:b w:val="0"/>
          <w:sz w:val="32"/>
          <w:u w:val="double"/>
        </w:rPr>
        <w:t>年度より</w:t>
      </w:r>
      <w:r>
        <w:rPr>
          <w:b w:val="0"/>
          <w:spacing w:val="-10"/>
          <w:sz w:val="32"/>
          <w:u w:val="double"/>
        </w:rPr>
        <w:t> </w:t>
      </w:r>
      <w:r>
        <w:rPr>
          <w:b w:val="0"/>
          <w:sz w:val="32"/>
          <w:u w:val="double"/>
        </w:rPr>
        <w:t>1</w:t>
      </w:r>
      <w:r>
        <w:rPr>
          <w:b w:val="0"/>
          <w:spacing w:val="-13"/>
          <w:sz w:val="32"/>
          <w:u w:val="double"/>
        </w:rPr>
        <w:t> </w:t>
      </w:r>
      <w:r>
        <w:rPr>
          <w:b w:val="0"/>
          <w:sz w:val="32"/>
          <w:u w:val="double"/>
        </w:rPr>
        <w:t>円減額）</w:t>
      </w:r>
      <w:r>
        <w:rPr>
          <w:b w:val="0"/>
          <w:sz w:val="32"/>
        </w:rPr>
        <w:t> </w:t>
      </w:r>
    </w:p>
    <w:p>
      <w:pPr>
        <w:pStyle w:val="BodyText"/>
        <w:spacing w:line="284" w:lineRule="exact"/>
        <w:ind w:right="269"/>
        <w:jc w:val="center"/>
        <w:rPr>
          <w:b w:val="0"/>
        </w:rPr>
      </w:pPr>
      <w:r>
        <w:rPr>
          <w:b w:val="0"/>
        </w:rPr>
        <w:t> </w:t>
      </w:r>
    </w:p>
    <w:p>
      <w:pPr>
        <w:pStyle w:val="Heading1"/>
        <w:tabs>
          <w:tab w:pos="2063" w:val="left" w:leader="none"/>
        </w:tabs>
        <w:spacing w:line="442" w:lineRule="exact"/>
        <w:rPr>
          <w:b w:val="0"/>
          <w:sz w:val="24"/>
        </w:rPr>
      </w:pPr>
      <w:r>
        <w:rPr/>
        <w:pict>
          <v:shape style="position:absolute;margin-left:60.284pt;margin-top:19.068668pt;width:260.75pt;height:28.35pt;mso-position-horizontal-relative:page;mso-position-vertical-relative:paragraph;z-index:157296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
                    <w:gridCol w:w="240"/>
                    <w:gridCol w:w="240"/>
                    <w:gridCol w:w="720"/>
                    <w:gridCol w:w="241"/>
                    <w:gridCol w:w="3329"/>
                  </w:tblGrid>
                  <w:tr>
                    <w:trPr>
                      <w:trHeight w:val="283" w:hRule="atLeast"/>
                    </w:trPr>
                    <w:tc>
                      <w:tcPr>
                        <w:tcW w:w="444" w:type="dxa"/>
                      </w:tcPr>
                      <w:p>
                        <w:pPr>
                          <w:pStyle w:val="TableParagraph"/>
                          <w:ind w:left="65" w:right="98"/>
                          <w:rPr>
                            <w:b w:val="0"/>
                            <w:sz w:val="24"/>
                          </w:rPr>
                        </w:pPr>
                        <w:r>
                          <w:rPr>
                            <w:b w:val="0"/>
                            <w:sz w:val="24"/>
                          </w:rPr>
                          <w:t>歳 </w:t>
                        </w:r>
                      </w:p>
                    </w:tc>
                    <w:tc>
                      <w:tcPr>
                        <w:tcW w:w="240" w:type="dxa"/>
                      </w:tcPr>
                      <w:p>
                        <w:pPr>
                          <w:pStyle w:val="TableParagraph"/>
                          <w:rPr>
                            <w:b w:val="0"/>
                            <w:sz w:val="24"/>
                          </w:rPr>
                        </w:pPr>
                        <w:r>
                          <w:rPr>
                            <w:b w:val="0"/>
                            <w:sz w:val="24"/>
                          </w:rPr>
                          <w:t> </w:t>
                        </w:r>
                      </w:p>
                    </w:tc>
                    <w:tc>
                      <w:tcPr>
                        <w:tcW w:w="240" w:type="dxa"/>
                      </w:tcPr>
                      <w:p>
                        <w:pPr>
                          <w:pStyle w:val="TableParagraph"/>
                          <w:rPr>
                            <w:b w:val="0"/>
                            <w:sz w:val="24"/>
                          </w:rPr>
                        </w:pPr>
                        <w:r>
                          <w:rPr>
                            <w:b w:val="0"/>
                            <w:sz w:val="24"/>
                          </w:rPr>
                          <w:t> </w:t>
                        </w:r>
                      </w:p>
                    </w:tc>
                    <w:tc>
                      <w:tcPr>
                        <w:tcW w:w="720" w:type="dxa"/>
                      </w:tcPr>
                      <w:p>
                        <w:pPr>
                          <w:pStyle w:val="TableParagraph"/>
                          <w:ind w:left="220" w:right="220"/>
                          <w:rPr>
                            <w:b w:val="0"/>
                            <w:sz w:val="24"/>
                          </w:rPr>
                        </w:pPr>
                        <w:r>
                          <w:rPr>
                            <w:b w:val="0"/>
                            <w:sz w:val="24"/>
                          </w:rPr>
                          <w:t>入   </w:t>
                        </w:r>
                        <w:r>
                          <w:rPr>
                            <w:b w:val="0"/>
                            <w:spacing w:val="-34"/>
                            <w:sz w:val="24"/>
                          </w:rPr>
                          <w:t> </w:t>
                        </w:r>
                        <w:r>
                          <w:rPr>
                            <w:b w:val="0"/>
                            <w:sz w:val="24"/>
                          </w:rPr>
                          <w:t> </w:t>
                        </w:r>
                      </w:p>
                    </w:tc>
                    <w:tc>
                      <w:tcPr>
                        <w:tcW w:w="241" w:type="dxa"/>
                      </w:tcPr>
                      <w:p>
                        <w:pPr>
                          <w:pStyle w:val="TableParagraph"/>
                          <w:rPr>
                            <w:b w:val="0"/>
                            <w:sz w:val="24"/>
                          </w:rPr>
                        </w:pPr>
                        <w:r>
                          <w:rPr>
                            <w:b w:val="0"/>
                            <w:sz w:val="24"/>
                          </w:rPr>
                          <w:t> </w:t>
                        </w:r>
                      </w:p>
                    </w:tc>
                    <w:tc>
                      <w:tcPr>
                        <w:tcW w:w="3329" w:type="dxa"/>
                      </w:tcPr>
                      <w:p>
                        <w:pPr>
                          <w:pStyle w:val="TableParagraph"/>
                          <w:ind w:left="87"/>
                          <w:jc w:val="left"/>
                          <w:rPr>
                            <w:b w:val="0"/>
                            <w:sz w:val="24"/>
                          </w:rPr>
                        </w:pPr>
                        <w:r>
                          <w:rPr>
                            <w:b w:val="0"/>
                            <w:sz w:val="24"/>
                          </w:rPr>
                          <w:t>５１億１０７７万７千円 </w:t>
                        </w:r>
                      </w:p>
                    </w:tc>
                  </w:tr>
                  <w:tr>
                    <w:trPr>
                      <w:trHeight w:val="283" w:hRule="atLeast"/>
                    </w:trPr>
                    <w:tc>
                      <w:tcPr>
                        <w:tcW w:w="444" w:type="dxa"/>
                      </w:tcPr>
                      <w:p>
                        <w:pPr>
                          <w:pStyle w:val="TableParagraph"/>
                          <w:ind w:left="65" w:right="98"/>
                          <w:rPr>
                            <w:b w:val="0"/>
                            <w:sz w:val="24"/>
                          </w:rPr>
                        </w:pPr>
                        <w:r>
                          <w:rPr>
                            <w:b w:val="0"/>
                            <w:sz w:val="24"/>
                          </w:rPr>
                          <w:t>歳 </w:t>
                        </w:r>
                      </w:p>
                    </w:tc>
                    <w:tc>
                      <w:tcPr>
                        <w:tcW w:w="240" w:type="dxa"/>
                      </w:tcPr>
                      <w:p>
                        <w:pPr>
                          <w:pStyle w:val="TableParagraph"/>
                          <w:rPr>
                            <w:b w:val="0"/>
                            <w:sz w:val="24"/>
                          </w:rPr>
                        </w:pPr>
                        <w:r>
                          <w:rPr>
                            <w:b w:val="0"/>
                            <w:sz w:val="24"/>
                          </w:rPr>
                          <w:t> </w:t>
                        </w:r>
                      </w:p>
                    </w:tc>
                    <w:tc>
                      <w:tcPr>
                        <w:tcW w:w="240" w:type="dxa"/>
                      </w:tcPr>
                      <w:p>
                        <w:pPr>
                          <w:pStyle w:val="TableParagraph"/>
                          <w:rPr>
                            <w:b w:val="0"/>
                            <w:sz w:val="24"/>
                          </w:rPr>
                        </w:pPr>
                        <w:r>
                          <w:rPr>
                            <w:b w:val="0"/>
                            <w:sz w:val="24"/>
                          </w:rPr>
                          <w:t> </w:t>
                        </w:r>
                      </w:p>
                    </w:tc>
                    <w:tc>
                      <w:tcPr>
                        <w:tcW w:w="720" w:type="dxa"/>
                      </w:tcPr>
                      <w:p>
                        <w:pPr>
                          <w:pStyle w:val="TableParagraph"/>
                          <w:ind w:left="220" w:right="220"/>
                          <w:rPr>
                            <w:b w:val="0"/>
                            <w:sz w:val="24"/>
                          </w:rPr>
                        </w:pPr>
                        <w:r>
                          <w:rPr>
                            <w:b w:val="0"/>
                            <w:sz w:val="24"/>
                          </w:rPr>
                          <w:t>出   </w:t>
                        </w:r>
                        <w:r>
                          <w:rPr>
                            <w:b w:val="0"/>
                            <w:spacing w:val="-34"/>
                            <w:sz w:val="24"/>
                          </w:rPr>
                          <w:t> </w:t>
                        </w:r>
                        <w:r>
                          <w:rPr>
                            <w:b w:val="0"/>
                            <w:sz w:val="24"/>
                          </w:rPr>
                          <w:t> </w:t>
                        </w:r>
                      </w:p>
                    </w:tc>
                    <w:tc>
                      <w:tcPr>
                        <w:tcW w:w="241" w:type="dxa"/>
                      </w:tcPr>
                      <w:p>
                        <w:pPr>
                          <w:pStyle w:val="TableParagraph"/>
                          <w:rPr>
                            <w:b w:val="0"/>
                            <w:sz w:val="24"/>
                          </w:rPr>
                        </w:pPr>
                        <w:r>
                          <w:rPr>
                            <w:b w:val="0"/>
                            <w:sz w:val="24"/>
                          </w:rPr>
                          <w:t> </w:t>
                        </w:r>
                      </w:p>
                    </w:tc>
                    <w:tc>
                      <w:tcPr>
                        <w:tcW w:w="3329" w:type="dxa"/>
                      </w:tcPr>
                      <w:p>
                        <w:pPr>
                          <w:pStyle w:val="TableParagraph"/>
                          <w:ind w:left="87"/>
                          <w:jc w:val="left"/>
                          <w:rPr>
                            <w:b w:val="0"/>
                            <w:sz w:val="24"/>
                          </w:rPr>
                        </w:pPr>
                        <w:r>
                          <w:rPr>
                            <w:b w:val="0"/>
                            <w:sz w:val="24"/>
                          </w:rPr>
                          <w:t>５１億１０７７万７千円   </w:t>
                        </w:r>
                        <w:r>
                          <w:rPr>
                            <w:b w:val="0"/>
                            <w:spacing w:val="-34"/>
                            <w:sz w:val="24"/>
                          </w:rPr>
                          <w:t> </w:t>
                        </w:r>
                        <w:r>
                          <w:rPr>
                            <w:b w:val="0"/>
                            <w:sz w:val="24"/>
                          </w:rPr>
                          <w:t>   </w:t>
                        </w:r>
                        <w:r>
                          <w:rPr>
                            <w:b w:val="0"/>
                            <w:spacing w:val="-34"/>
                            <w:sz w:val="24"/>
                          </w:rPr>
                          <w:t> </w:t>
                        </w:r>
                        <w:r>
                          <w:rPr>
                            <w:b w:val="0"/>
                            <w:sz w:val="24"/>
                          </w:rPr>
                          <w:t> </w:t>
                        </w:r>
                      </w:p>
                    </w:tc>
                  </w:tr>
                </w:tbl>
                <w:p>
                  <w:pPr>
                    <w:pStyle w:val="BodyText"/>
                  </w:pPr>
                </w:p>
              </w:txbxContent>
            </v:textbox>
            <w10:wrap type="none"/>
          </v:shape>
        </w:pict>
      </w:r>
      <w:r>
        <w:rPr>
          <w:b w:val="0"/>
        </w:rPr>
        <w:t>○令和８年度</w:t>
        <w:tab/>
        <w:t>曹洞宗一般会計歳入歳出予算</w:t>
      </w:r>
      <w:r>
        <w:rPr>
          <w:b w:val="0"/>
          <w:sz w:val="24"/>
        </w:rPr>
        <w:t> </w:t>
      </w:r>
    </w:p>
    <w:p>
      <w:pPr>
        <w:pStyle w:val="BodyText"/>
        <w:spacing w:before="12"/>
        <w:rPr>
          <w:b w:val="0"/>
          <w:sz w:val="23"/>
        </w:rPr>
      </w:pPr>
    </w:p>
    <w:p>
      <w:pPr>
        <w:pStyle w:val="BodyText"/>
        <w:spacing w:line="377" w:lineRule="exact"/>
        <w:ind w:left="2765"/>
        <w:rPr>
          <w:b w:val="0"/>
        </w:rPr>
      </w:pPr>
      <w:r>
        <w:rPr>
          <w:b w:val="0"/>
        </w:rPr>
        <w:t>（※ 歳入歳出ともに前年度より１０億１５１８万６千円の減額） </w:t>
      </w:r>
    </w:p>
    <w:p>
      <w:pPr>
        <w:pStyle w:val="BodyText"/>
        <w:spacing w:line="301" w:lineRule="exact"/>
        <w:ind w:left="100"/>
        <w:rPr>
          <w:b w:val="0"/>
        </w:rPr>
      </w:pPr>
      <w:r>
        <w:rPr>
          <w:b w:val="0"/>
        </w:rPr>
        <w:t>（</w:t>
      </w:r>
      <w:r>
        <w:rPr>
          <w:b w:val="0"/>
          <w:spacing w:val="2"/>
        </w:rPr>
        <w:t>内          訳</w:t>
      </w:r>
      <w:r>
        <w:rPr>
          <w:b w:val="0"/>
        </w:rPr>
        <w:t>）       ５０億４６７７万７千円 歳出経常部総額 </w:t>
      </w:r>
      <w:r>
        <w:rPr>
          <w:b w:val="0"/>
          <w:spacing w:val="-17"/>
        </w:rPr>
        <w:t> </w:t>
      </w:r>
      <w:r>
        <w:rPr>
          <w:b w:val="0"/>
        </w:rPr>
        <w:t> </w:t>
      </w:r>
    </w:p>
    <w:p>
      <w:pPr>
        <w:pStyle w:val="BodyText"/>
        <w:spacing w:line="301" w:lineRule="exact"/>
        <w:ind w:left="4190"/>
        <w:rPr>
          <w:b w:val="0"/>
        </w:rPr>
      </w:pPr>
      <w:r>
        <w:rPr>
          <w:b w:val="0"/>
        </w:rPr>
        <w:t>（※</w:t>
      </w:r>
      <w:r>
        <w:rPr>
          <w:b w:val="0"/>
          <w:spacing w:val="11"/>
        </w:rPr>
        <w:t> 前年度より </w:t>
      </w:r>
      <w:r>
        <w:rPr>
          <w:b w:val="0"/>
        </w:rPr>
        <w:t>1０億６千５１８万６千円の減額） </w:t>
      </w:r>
    </w:p>
    <w:p>
      <w:pPr>
        <w:pStyle w:val="BodyText"/>
        <w:spacing w:line="301" w:lineRule="exact"/>
        <w:ind w:left="128"/>
        <w:rPr>
          <w:b w:val="0"/>
        </w:rPr>
      </w:pPr>
      <w:r>
        <w:rPr>
          <w:b w:val="0"/>
        </w:rPr>
        <w:t>   </w:t>
      </w:r>
      <w:r>
        <w:rPr>
          <w:b w:val="0"/>
          <w:spacing w:val="-34"/>
        </w:rPr>
        <w:t> </w:t>
      </w:r>
      <w:r>
        <w:rPr>
          <w:b w:val="0"/>
        </w:rPr>
        <w:t>   </w:t>
      </w:r>
      <w:r>
        <w:rPr>
          <w:b w:val="0"/>
          <w:spacing w:val="-34"/>
        </w:rPr>
        <w:t> </w:t>
      </w:r>
      <w:r>
        <w:rPr>
          <w:b w:val="0"/>
        </w:rPr>
        <w:t>   </w:t>
      </w:r>
      <w:r>
        <w:rPr>
          <w:b w:val="0"/>
          <w:spacing w:val="-34"/>
        </w:rPr>
        <w:t> </w:t>
      </w:r>
      <w:r>
        <w:rPr>
          <w:b w:val="0"/>
        </w:rPr>
        <w:t>   </w:t>
      </w:r>
      <w:r>
        <w:rPr>
          <w:b w:val="0"/>
          <w:spacing w:val="-34"/>
        </w:rPr>
        <w:t> </w:t>
      </w:r>
      <w:r>
        <w:rPr>
          <w:b w:val="0"/>
        </w:rPr>
        <w:t>   </w:t>
      </w:r>
      <w:r>
        <w:rPr>
          <w:b w:val="0"/>
          <w:spacing w:val="-34"/>
        </w:rPr>
        <w:t> </w:t>
      </w:r>
      <w:r>
        <w:rPr>
          <w:b w:val="0"/>
        </w:rPr>
        <w:t>   </w:t>
      </w:r>
      <w:r>
        <w:rPr>
          <w:b w:val="0"/>
          <w:spacing w:val="-34"/>
        </w:rPr>
        <w:t> </w:t>
      </w:r>
      <w:r>
        <w:rPr>
          <w:b w:val="0"/>
        </w:rPr>
        <w:t>   </w:t>
      </w:r>
      <w:r>
        <w:rPr>
          <w:b w:val="0"/>
          <w:spacing w:val="-34"/>
        </w:rPr>
        <w:t> </w:t>
      </w:r>
      <w:r>
        <w:rPr>
          <w:b w:val="0"/>
        </w:rPr>
        <w:t>   </w:t>
      </w:r>
      <w:r>
        <w:rPr>
          <w:b w:val="0"/>
          <w:spacing w:val="-31"/>
        </w:rPr>
        <w:t> </w:t>
      </w:r>
      <w:r>
        <w:rPr>
          <w:b w:val="0"/>
        </w:rPr>
        <w:t>   </w:t>
      </w:r>
      <w:r>
        <w:rPr>
          <w:b w:val="0"/>
          <w:spacing w:val="-34"/>
        </w:rPr>
        <w:t> </w:t>
      </w:r>
      <w:r>
        <w:rPr>
          <w:b w:val="0"/>
        </w:rPr>
        <w:t>   </w:t>
      </w:r>
      <w:r>
        <w:rPr>
          <w:b w:val="0"/>
          <w:spacing w:val="-34"/>
        </w:rPr>
        <w:t> </w:t>
      </w:r>
      <w:r>
        <w:rPr>
          <w:b w:val="0"/>
        </w:rPr>
        <w:t>   </w:t>
      </w:r>
      <w:r>
        <w:rPr>
          <w:b w:val="0"/>
          <w:spacing w:val="-34"/>
        </w:rPr>
        <w:t> </w:t>
      </w:r>
      <w:r>
        <w:rPr>
          <w:b w:val="0"/>
        </w:rPr>
        <w:t>   </w:t>
      </w:r>
      <w:r>
        <w:rPr>
          <w:b w:val="0"/>
          <w:spacing w:val="-34"/>
        </w:rPr>
        <w:t> </w:t>
      </w:r>
      <w:r>
        <w:rPr>
          <w:b w:val="0"/>
        </w:rPr>
        <w:t>６４００万円          歳出臨時部総額 </w:t>
      </w:r>
    </w:p>
    <w:p>
      <w:pPr>
        <w:pStyle w:val="BodyText"/>
        <w:spacing w:line="301" w:lineRule="exact"/>
        <w:ind w:right="369"/>
        <w:jc w:val="right"/>
        <w:rPr>
          <w:b w:val="0"/>
        </w:rPr>
      </w:pPr>
      <w:r>
        <w:rPr>
          <w:b w:val="0"/>
        </w:rPr>
        <w:t>（※</w:t>
      </w:r>
      <w:r>
        <w:rPr>
          <w:b w:val="0"/>
          <w:spacing w:val="11"/>
        </w:rPr>
        <w:t> 前年度より </w:t>
      </w:r>
      <w:r>
        <w:rPr>
          <w:b w:val="0"/>
        </w:rPr>
        <w:t>1</w:t>
      </w:r>
      <w:r>
        <w:rPr>
          <w:b w:val="0"/>
          <w:spacing w:val="-3"/>
        </w:rPr>
        <w:t> 億１千６百万円の減額</w:t>
      </w:r>
      <w:r>
        <w:rPr>
          <w:b w:val="0"/>
        </w:rPr>
        <w:t>） </w:t>
      </w:r>
    </w:p>
    <w:p>
      <w:pPr>
        <w:pStyle w:val="BodyText"/>
        <w:spacing w:line="301" w:lineRule="exact"/>
        <w:ind w:right="369"/>
        <w:jc w:val="right"/>
        <w:rPr>
          <w:b w:val="0"/>
        </w:rPr>
      </w:pPr>
      <w:r>
        <w:rPr>
          <w:b w:val="0"/>
        </w:rPr>
        <w:t> </w:t>
      </w:r>
    </w:p>
    <w:p>
      <w:pPr>
        <w:pStyle w:val="BodyText"/>
        <w:spacing w:line="376" w:lineRule="exact"/>
        <w:ind w:right="369"/>
        <w:jc w:val="right"/>
        <w:rPr>
          <w:b w:val="0"/>
        </w:rPr>
      </w:pPr>
      <w:r>
        <w:rPr/>
        <w:pict>
          <v:group style="position:absolute;margin-left:51pt;margin-top:16.100201pt;width:61.05pt;height:18.25pt;mso-position-horizontal-relative:page;mso-position-vertical-relative:paragraph;z-index:15729152" coordorigin="1020,322" coordsize="1221,365">
            <v:shape style="position:absolute;left:1020;top:322;width:1141;height:365" coordorigin="1020,322" coordsize="1141,365" path="m2160,677l2151,677,2151,677,1030,677,1020,677,1020,687,1030,687,2151,687,2151,687,2160,687,2160,677xm2160,322l2151,322,2151,322,1030,322,1020,322,1020,332,1020,677,1030,677,1030,332,2151,332,2151,677,2160,677,2160,332,2160,322xe" filled="true" fillcolor="#000000" stroked="false">
              <v:path arrowok="t"/>
              <v:fill type="solid"/>
            </v:shape>
            <v:shape style="position:absolute;left:1020;top:322;width:1221;height:365" type="#_x0000_t202" filled="false" stroked="false">
              <v:textbox inset="0,0,0,0">
                <w:txbxContent>
                  <w:p>
                    <w:pPr>
                      <w:spacing w:line="365" w:lineRule="exact" w:before="0"/>
                      <w:ind w:left="9" w:right="0" w:firstLine="0"/>
                      <w:jc w:val="left"/>
                      <w:rPr>
                        <w:b w:val="0"/>
                        <w:sz w:val="28"/>
                      </w:rPr>
                    </w:pPr>
                    <w:r>
                      <w:rPr>
                        <w:b w:val="0"/>
                        <w:sz w:val="28"/>
                      </w:rPr>
                      <w:t>議会概要 </w:t>
                    </w:r>
                  </w:p>
                </w:txbxContent>
              </v:textbox>
              <w10:wrap type="none"/>
            </v:shape>
            <w10:wrap type="none"/>
          </v:group>
        </w:pict>
      </w:r>
      <w:r>
        <w:rPr>
          <w:b w:val="0"/>
        </w:rPr>
        <w:t> </w:t>
      </w:r>
    </w:p>
    <w:p>
      <w:pPr>
        <w:pStyle w:val="BodyText"/>
        <w:spacing w:before="6"/>
        <w:rPr>
          <w:b w:val="0"/>
          <w:sz w:val="11"/>
        </w:rPr>
      </w:pPr>
    </w:p>
    <w:p>
      <w:pPr>
        <w:pStyle w:val="BodyText"/>
        <w:spacing w:line="160" w:lineRule="auto" w:before="105"/>
        <w:ind w:left="242" w:right="239"/>
        <w:jc w:val="both"/>
        <w:rPr>
          <w:b w:val="0"/>
        </w:rPr>
      </w:pPr>
      <w:r>
        <w:rPr>
          <w:b w:val="0"/>
          <w:spacing w:val="-2"/>
        </w:rPr>
        <w:t>令和 </w:t>
      </w:r>
      <w:r>
        <w:rPr>
          <w:b w:val="0"/>
        </w:rPr>
        <w:t>8</w:t>
      </w:r>
      <w:r>
        <w:rPr>
          <w:b w:val="0"/>
          <w:spacing w:val="-2"/>
        </w:rPr>
        <w:t> 年 </w:t>
      </w:r>
      <w:r>
        <w:rPr>
          <w:b w:val="0"/>
        </w:rPr>
        <w:t>2</w:t>
      </w:r>
      <w:r>
        <w:rPr>
          <w:b w:val="0"/>
          <w:spacing w:val="-3"/>
        </w:rPr>
        <w:t> 月 </w:t>
      </w:r>
      <w:r>
        <w:rPr>
          <w:b w:val="0"/>
        </w:rPr>
        <w:t>16</w:t>
      </w:r>
      <w:r>
        <w:rPr>
          <w:b w:val="0"/>
          <w:spacing w:val="-2"/>
        </w:rPr>
        <w:t> 日、第 </w:t>
      </w:r>
      <w:r>
        <w:rPr>
          <w:b w:val="0"/>
        </w:rPr>
        <w:t>149</w:t>
      </w:r>
      <w:r>
        <w:rPr>
          <w:b w:val="0"/>
          <w:spacing w:val="-2"/>
        </w:rPr>
        <w:t> 回通常宗議会が招集され、会期 </w:t>
      </w:r>
      <w:r>
        <w:rPr>
          <w:b w:val="0"/>
        </w:rPr>
        <w:t>5</w:t>
      </w:r>
      <w:r>
        <w:rPr>
          <w:b w:val="0"/>
          <w:spacing w:val="-2"/>
        </w:rPr>
        <w:t> 日間にわたり主に令和 </w:t>
      </w:r>
      <w:r>
        <w:rPr>
          <w:b w:val="0"/>
        </w:rPr>
        <w:t>8</w:t>
      </w:r>
      <w:r>
        <w:rPr>
          <w:b w:val="0"/>
          <w:spacing w:val="-2"/>
        </w:rPr>
        <w:t> 年度</w:t>
      </w:r>
      <w:r>
        <w:rPr>
          <w:b w:val="0"/>
          <w:spacing w:val="-10"/>
        </w:rPr>
        <w:t>予算についての審議が行われた。招集初日、石附周行猊下管長就任式、宗議会成立に関する集</w:t>
      </w:r>
      <w:r>
        <w:rPr>
          <w:b w:val="0"/>
        </w:rPr>
        <w:t>会、開会式、常任委員指名、服部秀世宗務総長による施政方針演説が行われた。 </w:t>
      </w:r>
    </w:p>
    <w:p>
      <w:pPr>
        <w:pStyle w:val="BodyText"/>
        <w:spacing w:line="271" w:lineRule="exact"/>
        <w:ind w:left="242"/>
        <w:jc w:val="both"/>
        <w:rPr>
          <w:b w:val="0"/>
        </w:rPr>
      </w:pPr>
      <w:r>
        <w:rPr>
          <w:b w:val="0"/>
        </w:rPr>
        <w:t>内容は     ①曹洞宗所有不動産再開発推進委員会    ②建て替えに伴う宗務庁の仮移転候補地 </w:t>
      </w:r>
    </w:p>
    <w:p>
      <w:pPr>
        <w:pStyle w:val="BodyText"/>
        <w:spacing w:line="160" w:lineRule="auto" w:before="26"/>
        <w:ind w:left="242" w:right="237"/>
        <w:jc w:val="both"/>
        <w:rPr>
          <w:b w:val="0"/>
        </w:rPr>
      </w:pPr>
      <w:r>
        <w:rPr>
          <w:b w:val="0"/>
        </w:rPr>
        <w:t>③災害見舞金制度 ④災害対応 ⑤本年度実施の各種総選挙 ⑥僧堂関係   ⑦布教教化に関する告諭、並びに布教教化方針 ⑧青少年書道展 ⑨教化資料 ⑩出版部関連   ⑪伝道部関連 ⑫人事部関連 ⑬人権擁護推進本部関連 それぞれについての演説であった。 </w:t>
      </w:r>
    </w:p>
    <w:p>
      <w:pPr>
        <w:pStyle w:val="BodyText"/>
        <w:spacing w:line="270" w:lineRule="exact"/>
        <w:ind w:left="242"/>
        <w:jc w:val="both"/>
        <w:rPr>
          <w:b w:val="0"/>
        </w:rPr>
      </w:pPr>
      <w:r>
        <w:rPr>
          <w:b w:val="0"/>
          <w:spacing w:val="-1"/>
        </w:rPr>
        <w:t>その後、提出議案 </w:t>
      </w:r>
      <w:r>
        <w:rPr>
          <w:b w:val="0"/>
        </w:rPr>
        <w:t>14</w:t>
      </w:r>
      <w:r>
        <w:rPr>
          <w:b w:val="0"/>
          <w:spacing w:val="-4"/>
        </w:rPr>
        <w:t> 本、承認を求める件 </w:t>
      </w:r>
      <w:r>
        <w:rPr>
          <w:b w:val="0"/>
        </w:rPr>
        <w:t>2</w:t>
      </w:r>
      <w:r>
        <w:rPr>
          <w:b w:val="0"/>
          <w:spacing w:val="-3"/>
        </w:rPr>
        <w:t> 本が上程された。 </w:t>
      </w:r>
    </w:p>
    <w:p>
      <w:pPr>
        <w:pStyle w:val="BodyText"/>
        <w:spacing w:line="160" w:lineRule="auto" w:before="27"/>
        <w:ind w:left="242" w:right="236"/>
        <w:jc w:val="both"/>
        <w:rPr>
          <w:b w:val="0"/>
        </w:rPr>
      </w:pPr>
      <w:r>
        <w:rPr>
          <w:b w:val="0"/>
          <w:spacing w:val="-11"/>
        </w:rPr>
        <w:t>継続審議となっていた「東京グランドホテル営業を終了する件」と「曹洞宗土地・建物再開発</w:t>
      </w:r>
      <w:r>
        <w:rPr>
          <w:b w:val="0"/>
        </w:rPr>
        <w:t>に係る契約及び入札の倫理審査に関する規程制定案」についての特別委員長の報告がなされ</w:t>
      </w:r>
      <w:r>
        <w:rPr>
          <w:b w:val="0"/>
          <w:spacing w:val="-12"/>
        </w:rPr>
        <w:t>た。東京グランドホテル営業を終了する件については、継続審査を望む報告がなされ、今次宗</w:t>
      </w:r>
      <w:r>
        <w:rPr>
          <w:b w:val="0"/>
          <w:spacing w:val="-9"/>
        </w:rPr>
        <w:t>議会の特別委員会に付託された。さらに議員発議の上記規程制定案は「曹洞宗役職員倫理規定</w:t>
      </w:r>
      <w:r>
        <w:rPr>
          <w:b w:val="0"/>
        </w:rPr>
        <w:t>制定案」として採決された。 </w:t>
      </w:r>
    </w:p>
    <w:p>
      <w:pPr>
        <w:pStyle w:val="BodyText"/>
        <w:spacing w:line="160" w:lineRule="auto"/>
        <w:ind w:left="242" w:right="117"/>
        <w:rPr>
          <w:b w:val="0"/>
        </w:rPr>
      </w:pPr>
      <w:r>
        <w:rPr>
          <w:b w:val="0"/>
          <w:spacing w:val="-2"/>
        </w:rPr>
        <w:t>翌日より、各案件をそれぞれの常任委員会・特別委員会に付託、全ての議案が審議に入り、有</w:t>
      </w:r>
      <w:r>
        <w:rPr>
          <w:b w:val="0"/>
        </w:rPr>
        <w:t>道会・總和会を代表しての「総括質問」に続き「通告による一般質問」12 本、「文書質問」3</w:t>
      </w:r>
      <w:r>
        <w:rPr>
          <w:b w:val="0"/>
          <w:spacing w:val="-3"/>
        </w:rPr>
        <w:t> 本が提出された。 </w:t>
      </w:r>
    </w:p>
    <w:p>
      <w:pPr>
        <w:pStyle w:val="BodyText"/>
        <w:spacing w:line="160" w:lineRule="auto"/>
        <w:ind w:left="242" w:right="170"/>
        <w:jc w:val="both"/>
        <w:rPr>
          <w:b w:val="0"/>
        </w:rPr>
      </w:pPr>
      <w:r>
        <w:rPr>
          <w:b w:val="0"/>
          <w:spacing w:val="-11"/>
        </w:rPr>
        <w:t>その後、各委員会に付託された案件の審議が行われ、最終日に、それぞれの委員長から審議の</w:t>
      </w:r>
      <w:r>
        <w:rPr>
          <w:b w:val="0"/>
          <w:spacing w:val="-12"/>
        </w:rPr>
        <w:t>報告を受け、令和８年度の曹洞宗一般会計歳入歳出予算案並びに補正予算、ソートービル建替</w:t>
      </w:r>
      <w:r>
        <w:rPr>
          <w:b w:val="0"/>
          <w:spacing w:val="-13"/>
        </w:rPr>
        <w:t>えの件、東京グランドホテルの営業を終了する件、曹洞宗宗務庁仮移転候補地選定につき承認</w:t>
      </w:r>
      <w:r>
        <w:rPr>
          <w:b w:val="0"/>
          <w:spacing w:val="-10"/>
        </w:rPr>
        <w:t>を求める件については可決、不動産開発に関する基本条件を求める件については否決された。</w:t>
      </w:r>
      <w:r>
        <w:rPr>
          <w:b w:val="0"/>
        </w:rPr>
        <w:t> </w:t>
      </w:r>
    </w:p>
    <w:p>
      <w:pPr>
        <w:pStyle w:val="BodyText"/>
        <w:spacing w:line="259" w:lineRule="exact"/>
        <w:ind w:left="242"/>
        <w:rPr>
          <w:b w:val="0"/>
        </w:rPr>
      </w:pPr>
      <w:r>
        <w:rPr>
          <w:b w:val="0"/>
          <w:color w:val="ED0000"/>
        </w:rPr>
        <w:t> </w:t>
      </w:r>
    </w:p>
    <w:p>
      <w:pPr>
        <w:pStyle w:val="Heading1"/>
        <w:tabs>
          <w:tab w:pos="4166" w:val="left" w:leader="none"/>
        </w:tabs>
        <w:ind w:left="242"/>
        <w:rPr>
          <w:b w:val="0"/>
        </w:rPr>
      </w:pPr>
      <w:r>
        <w:rPr>
          <w:b w:val="0"/>
        </w:rPr>
        <w:t>○一般会計歳入歳出予算額</w:t>
        <w:tab/>
        <w:t>５１億１０７７万７千円 </w:t>
      </w:r>
    </w:p>
    <w:p>
      <w:pPr>
        <w:pStyle w:val="BodyText"/>
        <w:spacing w:line="298" w:lineRule="exact"/>
        <w:ind w:left="299"/>
        <w:rPr>
          <w:b w:val="0"/>
        </w:rPr>
      </w:pPr>
      <w:r>
        <w:rPr>
          <w:b w:val="0"/>
        </w:rPr>
        <w:t>前年度当初予算と比較し、10</w:t>
      </w:r>
      <w:r>
        <w:rPr>
          <w:b w:val="0"/>
          <w:spacing w:val="-7"/>
        </w:rPr>
        <w:t> 億 </w:t>
      </w:r>
      <w:r>
        <w:rPr>
          <w:b w:val="0"/>
        </w:rPr>
        <w:t>1518</w:t>
      </w:r>
      <w:r>
        <w:rPr>
          <w:b w:val="0"/>
          <w:spacing w:val="-7"/>
        </w:rPr>
        <w:t> 万 </w:t>
      </w:r>
      <w:r>
        <w:rPr>
          <w:b w:val="0"/>
        </w:rPr>
        <w:t>6</w:t>
      </w:r>
      <w:r>
        <w:rPr>
          <w:b w:val="0"/>
          <w:spacing w:val="-3"/>
        </w:rPr>
        <w:t> 千円の減額となった。 </w:t>
      </w:r>
    </w:p>
    <w:p>
      <w:pPr>
        <w:pStyle w:val="BodyText"/>
        <w:spacing w:line="160" w:lineRule="auto" w:before="18"/>
        <w:ind w:left="299" w:right="264"/>
        <w:jc w:val="both"/>
        <w:rPr>
          <w:b w:val="0"/>
        </w:rPr>
      </w:pPr>
      <w:r>
        <w:rPr>
          <w:b w:val="0"/>
          <w:spacing w:val="-1"/>
        </w:rPr>
        <w:t>これは、前年度に曹洞宗育英会規程の廃止に伴う資産受入れや、図書印刷物等刊行特別会計および檀信徒会館特別会計からの元入金繰入れといった一時的な収入増があったことの反動である。歳出においては、規程変更により災害対策特別会計への繰入金を減額した一方、近</w:t>
      </w:r>
      <w:r>
        <w:rPr>
          <w:b w:val="0"/>
        </w:rPr>
        <w:t>年の物価上昇や予算全体に対する割合を考慮し、予備費を増額計上した。 </w:t>
      </w:r>
      <w:r>
        <w:rPr>
          <w:b w:val="0"/>
          <w:spacing w:val="-17"/>
        </w:rPr>
        <w:t> </w:t>
      </w:r>
      <w:r>
        <w:rPr>
          <w:b w:val="0"/>
        </w:rPr>
        <w:t> </w:t>
      </w:r>
    </w:p>
    <w:p>
      <w:pPr>
        <w:pStyle w:val="BodyText"/>
        <w:spacing w:line="160" w:lineRule="auto"/>
        <w:ind w:left="299" w:right="264"/>
        <w:jc w:val="both"/>
        <w:rPr>
          <w:b w:val="0"/>
        </w:rPr>
      </w:pPr>
      <w:r>
        <w:rPr>
          <w:b w:val="0"/>
          <w:spacing w:val="-1"/>
        </w:rPr>
        <w:t>以上を踏まえ、物価高が続く厳しい状況を考慮して事業を再検討した結果、級階による賦課</w:t>
      </w:r>
      <w:r>
        <w:rPr>
          <w:b w:val="0"/>
          <w:spacing w:val="-4"/>
        </w:rPr>
        <w:t>金は </w:t>
      </w:r>
      <w:r>
        <w:rPr>
          <w:b w:val="0"/>
        </w:rPr>
        <w:t>1</w:t>
      </w:r>
      <w:r>
        <w:rPr>
          <w:b w:val="0"/>
          <w:spacing w:val="-4"/>
        </w:rPr>
        <w:t> 点あたり </w:t>
      </w:r>
      <w:r>
        <w:rPr>
          <w:b w:val="0"/>
        </w:rPr>
        <w:t>145</w:t>
      </w:r>
      <w:r>
        <w:rPr>
          <w:b w:val="0"/>
          <w:spacing w:val="-3"/>
        </w:rPr>
        <w:t> 円に決定した。 </w:t>
      </w:r>
    </w:p>
    <w:p>
      <w:pPr>
        <w:pStyle w:val="BodyText"/>
        <w:spacing w:line="347" w:lineRule="exact"/>
        <w:ind w:left="299"/>
        <w:rPr>
          <w:b w:val="0"/>
        </w:rPr>
      </w:pPr>
      <w:r>
        <w:rPr>
          <w:b w:val="0"/>
        </w:rPr>
        <w:t> </w:t>
      </w:r>
    </w:p>
    <w:p>
      <w:pPr>
        <w:spacing w:after="0" w:line="347" w:lineRule="exact"/>
        <w:sectPr>
          <w:type w:val="continuous"/>
          <w:pgSz w:w="11910" w:h="16840"/>
          <w:pgMar w:top="1040" w:bottom="280" w:left="920" w:right="580"/>
        </w:sectPr>
      </w:pPr>
    </w:p>
    <w:p>
      <w:pPr>
        <w:pStyle w:val="BodyText"/>
        <w:spacing w:line="347" w:lineRule="exact"/>
        <w:ind w:left="299"/>
        <w:rPr>
          <w:b w:val="0"/>
        </w:rPr>
      </w:pPr>
      <w:r>
        <w:rPr>
          <w:b w:val="0"/>
        </w:rPr>
        <w:t> </w:t>
      </w:r>
    </w:p>
    <w:p>
      <w:pPr>
        <w:pStyle w:val="Heading1"/>
        <w:tabs>
          <w:tab w:pos="4224" w:val="left" w:leader="none"/>
          <w:tab w:pos="4504" w:val="left" w:leader="none"/>
        </w:tabs>
        <w:spacing w:line="443" w:lineRule="exact"/>
        <w:ind w:left="299"/>
        <w:rPr>
          <w:b w:val="0"/>
        </w:rPr>
      </w:pPr>
      <w:r>
        <w:rPr/>
        <w:pict>
          <v:shape style="position:absolute;margin-left:51pt;margin-top:19.138674pt;width:486.05pt;height:126.4pt;mso-position-horizontal-relative:page;mso-position-vertical-relative:paragraph;z-index:157306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1"/>
                    <w:gridCol w:w="589"/>
                    <w:gridCol w:w="840"/>
                    <w:gridCol w:w="863"/>
                    <w:gridCol w:w="818"/>
                    <w:gridCol w:w="1151"/>
                    <w:gridCol w:w="250"/>
                    <w:gridCol w:w="1984"/>
                  </w:tblGrid>
                  <w:tr>
                    <w:trPr>
                      <w:trHeight w:val="283" w:hRule="atLeast"/>
                    </w:trPr>
                    <w:tc>
                      <w:tcPr>
                        <w:tcW w:w="7482" w:type="dxa"/>
                        <w:gridSpan w:val="6"/>
                      </w:tcPr>
                      <w:p>
                        <w:pPr>
                          <w:pStyle w:val="TableParagraph"/>
                          <w:tabs>
                            <w:tab w:pos="6721" w:val="left" w:leader="none"/>
                          </w:tabs>
                          <w:jc w:val="left"/>
                          <w:rPr>
                            <w:b w:val="0"/>
                            <w:sz w:val="24"/>
                          </w:rPr>
                        </w:pPr>
                        <w:r>
                          <w:rPr>
                            <w:b w:val="0"/>
                            <w:sz w:val="24"/>
                          </w:rPr>
                          <w:t> </w:t>
                        </w:r>
                        <w:r>
                          <w:rPr>
                            <w:b w:val="0"/>
                            <w:spacing w:val="5"/>
                            <w:sz w:val="24"/>
                          </w:rPr>
                          <w:t> </w:t>
                        </w:r>
                        <w:r>
                          <w:rPr>
                            <w:b w:val="0"/>
                            <w:sz w:val="24"/>
                          </w:rPr>
                          <w:t>１款‐学校法人愛知学院創立</w:t>
                        </w:r>
                        <w:r>
                          <w:rPr>
                            <w:b w:val="0"/>
                            <w:spacing w:val="-9"/>
                            <w:sz w:val="24"/>
                          </w:rPr>
                          <w:t> </w:t>
                        </w:r>
                        <w:r>
                          <w:rPr>
                            <w:b w:val="0"/>
                            <w:sz w:val="24"/>
                          </w:rPr>
                          <w:t>150</w:t>
                        </w:r>
                        <w:r>
                          <w:rPr>
                            <w:b w:val="0"/>
                            <w:spacing w:val="-8"/>
                            <w:sz w:val="24"/>
                          </w:rPr>
                          <w:t> </w:t>
                        </w:r>
                        <w:r>
                          <w:rPr>
                            <w:b w:val="0"/>
                            <w:sz w:val="24"/>
                          </w:rPr>
                          <w:t>周年記念教育振興支援金 </w:t>
                          <w:tab/>
                          <w:t> </w:t>
                        </w:r>
                      </w:p>
                    </w:tc>
                    <w:tc>
                      <w:tcPr>
                        <w:tcW w:w="250" w:type="dxa"/>
                      </w:tcPr>
                      <w:p>
                        <w:pPr>
                          <w:pStyle w:val="TableParagraph"/>
                          <w:ind w:right="19"/>
                          <w:rPr>
                            <w:b w:val="0"/>
                            <w:sz w:val="24"/>
                          </w:rPr>
                        </w:pPr>
                        <w:r>
                          <w:rPr>
                            <w:b w:val="0"/>
                            <w:sz w:val="24"/>
                          </w:rPr>
                          <w:t> </w:t>
                        </w:r>
                      </w:p>
                    </w:tc>
                    <w:tc>
                      <w:tcPr>
                        <w:tcW w:w="1984" w:type="dxa"/>
                      </w:tcPr>
                      <w:p>
                        <w:pPr>
                          <w:pStyle w:val="TableParagraph"/>
                          <w:ind w:right="43"/>
                          <w:jc w:val="right"/>
                          <w:rPr>
                            <w:b w:val="0"/>
                            <w:sz w:val="24"/>
                          </w:rPr>
                        </w:pPr>
                        <w:r>
                          <w:rPr>
                            <w:b w:val="0"/>
                            <w:sz w:val="24"/>
                          </w:rPr>
                          <w:t>５００万円 </w:t>
                        </w:r>
                      </w:p>
                    </w:tc>
                  </w:tr>
                  <w:tr>
                    <w:trPr>
                      <w:trHeight w:val="301" w:hRule="atLeast"/>
                    </w:trPr>
                    <w:tc>
                      <w:tcPr>
                        <w:tcW w:w="7482" w:type="dxa"/>
                        <w:gridSpan w:val="6"/>
                      </w:tcPr>
                      <w:p>
                        <w:pPr>
                          <w:pStyle w:val="TableParagraph"/>
                          <w:spacing w:line="281" w:lineRule="exact"/>
                          <w:jc w:val="left"/>
                          <w:rPr>
                            <w:b w:val="0"/>
                            <w:sz w:val="24"/>
                          </w:rPr>
                        </w:pPr>
                        <w:r>
                          <w:rPr>
                            <w:b w:val="0"/>
                            <w:sz w:val="24"/>
                          </w:rPr>
                          <w:t> </w:t>
                        </w:r>
                        <w:r>
                          <w:rPr>
                            <w:b w:val="0"/>
                            <w:spacing w:val="5"/>
                            <w:sz w:val="24"/>
                          </w:rPr>
                          <w:t> </w:t>
                        </w:r>
                        <w:r>
                          <w:rPr>
                            <w:b w:val="0"/>
                            <w:spacing w:val="-1"/>
                            <w:sz w:val="24"/>
                          </w:rPr>
                          <w:t>２款‐学校法人世田谷学園創立 </w:t>
                        </w:r>
                        <w:r>
                          <w:rPr>
                            <w:b w:val="0"/>
                            <w:sz w:val="24"/>
                          </w:rPr>
                          <w:t>125</w:t>
                        </w:r>
                        <w:r>
                          <w:rPr>
                            <w:b w:val="0"/>
                            <w:spacing w:val="-3"/>
                            <w:sz w:val="24"/>
                          </w:rPr>
                          <w:t> 周年記念教育振興支援金</w:t>
                        </w:r>
                        <w:r>
                          <w:rPr>
                            <w:b w:val="0"/>
                            <w:spacing w:val="-11"/>
                            <w:sz w:val="24"/>
                          </w:rPr>
                          <w:t> </w:t>
                        </w:r>
                        <w:r>
                          <w:rPr>
                            <w:b w:val="0"/>
                            <w:sz w:val="24"/>
                          </w:rPr>
                          <w:t> </w:t>
                        </w:r>
                      </w:p>
                    </w:tc>
                    <w:tc>
                      <w:tcPr>
                        <w:tcW w:w="250" w:type="dxa"/>
                      </w:tcPr>
                      <w:p>
                        <w:pPr>
                          <w:pStyle w:val="TableParagraph"/>
                          <w:spacing w:line="281" w:lineRule="exact"/>
                          <w:ind w:right="19"/>
                          <w:rPr>
                            <w:b w:val="0"/>
                            <w:sz w:val="24"/>
                          </w:rPr>
                        </w:pPr>
                        <w:r>
                          <w:rPr>
                            <w:b w:val="0"/>
                            <w:sz w:val="24"/>
                          </w:rPr>
                          <w:t> </w:t>
                        </w:r>
                      </w:p>
                    </w:tc>
                    <w:tc>
                      <w:tcPr>
                        <w:tcW w:w="1984" w:type="dxa"/>
                      </w:tcPr>
                      <w:p>
                        <w:pPr>
                          <w:pStyle w:val="TableParagraph"/>
                          <w:spacing w:line="281" w:lineRule="exact"/>
                          <w:ind w:right="43"/>
                          <w:jc w:val="right"/>
                          <w:rPr>
                            <w:b w:val="0"/>
                            <w:sz w:val="24"/>
                          </w:rPr>
                        </w:pPr>
                        <w:r>
                          <w:rPr>
                            <w:b w:val="0"/>
                            <w:sz w:val="24"/>
                          </w:rPr>
                          <w:t>５００万円 </w:t>
                        </w:r>
                      </w:p>
                    </w:tc>
                  </w:tr>
                  <w:tr>
                    <w:trPr>
                      <w:trHeight w:val="301" w:hRule="atLeast"/>
                    </w:trPr>
                    <w:tc>
                      <w:tcPr>
                        <w:tcW w:w="7482" w:type="dxa"/>
                        <w:gridSpan w:val="6"/>
                      </w:tcPr>
                      <w:p>
                        <w:pPr>
                          <w:pStyle w:val="TableParagraph"/>
                          <w:tabs>
                            <w:tab w:pos="5881" w:val="left" w:leader="none"/>
                            <w:tab w:pos="6721" w:val="left" w:leader="none"/>
                          </w:tabs>
                          <w:spacing w:line="281" w:lineRule="exact"/>
                          <w:jc w:val="left"/>
                          <w:rPr>
                            <w:b w:val="0"/>
                            <w:sz w:val="24"/>
                          </w:rPr>
                        </w:pPr>
                        <w:r>
                          <w:rPr>
                            <w:b w:val="0"/>
                            <w:sz w:val="24"/>
                          </w:rPr>
                          <w:t> </w:t>
                        </w:r>
                        <w:r>
                          <w:rPr>
                            <w:b w:val="0"/>
                            <w:spacing w:val="5"/>
                            <w:sz w:val="24"/>
                          </w:rPr>
                          <w:t> </w:t>
                        </w:r>
                        <w:r>
                          <w:rPr>
                            <w:b w:val="0"/>
                            <w:sz w:val="24"/>
                          </w:rPr>
                          <w:t>３款‐国外における宗立専門僧堂開設準備費 </w:t>
                        </w:r>
                        <w:r>
                          <w:rPr>
                            <w:b w:val="0"/>
                            <w:spacing w:val="-39"/>
                            <w:sz w:val="24"/>
                          </w:rPr>
                          <w:t> </w:t>
                        </w:r>
                        <w:r>
                          <w:rPr>
                            <w:b w:val="0"/>
                            <w:sz w:val="24"/>
                          </w:rPr>
                          <w:t> </w:t>
                          <w:tab/>
                          <w:t> </w:t>
                          <w:tab/>
                          <w:t> </w:t>
                        </w:r>
                      </w:p>
                    </w:tc>
                    <w:tc>
                      <w:tcPr>
                        <w:tcW w:w="250" w:type="dxa"/>
                      </w:tcPr>
                      <w:p>
                        <w:pPr>
                          <w:pStyle w:val="TableParagraph"/>
                          <w:spacing w:line="281" w:lineRule="exact"/>
                          <w:ind w:right="19"/>
                          <w:rPr>
                            <w:b w:val="0"/>
                            <w:sz w:val="24"/>
                          </w:rPr>
                        </w:pPr>
                        <w:r>
                          <w:rPr>
                            <w:b w:val="0"/>
                            <w:sz w:val="24"/>
                          </w:rPr>
                          <w:t> </w:t>
                        </w:r>
                      </w:p>
                    </w:tc>
                    <w:tc>
                      <w:tcPr>
                        <w:tcW w:w="1984" w:type="dxa"/>
                      </w:tcPr>
                      <w:p>
                        <w:pPr>
                          <w:pStyle w:val="TableParagraph"/>
                          <w:spacing w:line="281" w:lineRule="exact"/>
                          <w:ind w:right="43"/>
                          <w:jc w:val="right"/>
                          <w:rPr>
                            <w:b w:val="0"/>
                            <w:sz w:val="24"/>
                          </w:rPr>
                        </w:pPr>
                        <w:r>
                          <w:rPr>
                            <w:b w:val="0"/>
                            <w:sz w:val="24"/>
                          </w:rPr>
                          <w:t>１００万円 </w:t>
                        </w:r>
                      </w:p>
                    </w:tc>
                  </w:tr>
                  <w:tr>
                    <w:trPr>
                      <w:trHeight w:val="301" w:hRule="atLeast"/>
                    </w:trPr>
                    <w:tc>
                      <w:tcPr>
                        <w:tcW w:w="7482" w:type="dxa"/>
                        <w:gridSpan w:val="6"/>
                      </w:tcPr>
                      <w:p>
                        <w:pPr>
                          <w:pStyle w:val="TableParagraph"/>
                          <w:tabs>
                            <w:tab w:pos="5881" w:val="left" w:leader="none"/>
                            <w:tab w:pos="6721" w:val="left" w:leader="none"/>
                          </w:tabs>
                          <w:spacing w:line="281" w:lineRule="exact"/>
                          <w:ind w:left="142"/>
                          <w:jc w:val="left"/>
                          <w:rPr>
                            <w:b w:val="0"/>
                            <w:sz w:val="24"/>
                          </w:rPr>
                        </w:pPr>
                        <w:r>
                          <w:rPr>
                            <w:b w:val="0"/>
                            <w:sz w:val="24"/>
                          </w:rPr>
                          <w:t>４款‐全国宗務所長会結成５０周年祝賀金支出 </w:t>
                          <w:tab/>
                          <w:t> </w:t>
                          <w:tab/>
                          <w:t> </w:t>
                        </w:r>
                      </w:p>
                    </w:tc>
                    <w:tc>
                      <w:tcPr>
                        <w:tcW w:w="250" w:type="dxa"/>
                      </w:tcPr>
                      <w:p>
                        <w:pPr>
                          <w:pStyle w:val="TableParagraph"/>
                          <w:spacing w:line="281" w:lineRule="exact"/>
                          <w:ind w:right="19"/>
                          <w:rPr>
                            <w:b w:val="0"/>
                            <w:sz w:val="24"/>
                          </w:rPr>
                        </w:pPr>
                        <w:r>
                          <w:rPr>
                            <w:b w:val="0"/>
                            <w:sz w:val="24"/>
                          </w:rPr>
                          <w:t> </w:t>
                        </w:r>
                      </w:p>
                    </w:tc>
                    <w:tc>
                      <w:tcPr>
                        <w:tcW w:w="1984" w:type="dxa"/>
                      </w:tcPr>
                      <w:p>
                        <w:pPr>
                          <w:pStyle w:val="TableParagraph"/>
                          <w:spacing w:line="281" w:lineRule="exact"/>
                          <w:ind w:right="43"/>
                          <w:jc w:val="right"/>
                          <w:rPr>
                            <w:b w:val="0"/>
                            <w:sz w:val="24"/>
                          </w:rPr>
                        </w:pPr>
                        <w:r>
                          <w:rPr>
                            <w:b w:val="0"/>
                            <w:sz w:val="24"/>
                          </w:rPr>
                          <w:t>１００万円 </w:t>
                        </w:r>
                      </w:p>
                    </w:tc>
                  </w:tr>
                  <w:tr>
                    <w:trPr>
                      <w:trHeight w:val="282" w:hRule="atLeast"/>
                    </w:trPr>
                    <w:tc>
                      <w:tcPr>
                        <w:tcW w:w="7482" w:type="dxa"/>
                        <w:gridSpan w:val="6"/>
                      </w:tcPr>
                      <w:p>
                        <w:pPr>
                          <w:pStyle w:val="TableParagraph"/>
                          <w:spacing w:line="262" w:lineRule="exact"/>
                          <w:ind w:left="142"/>
                          <w:jc w:val="left"/>
                          <w:rPr>
                            <w:b w:val="0"/>
                            <w:sz w:val="24"/>
                          </w:rPr>
                        </w:pPr>
                        <w:r>
                          <w:rPr>
                            <w:b w:val="0"/>
                            <w:sz w:val="24"/>
                          </w:rPr>
                          <w:t>５款‐曹洞宗不動産再開発推進委員会費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r>
                          <w:rPr>
                            <w:b w:val="0"/>
                            <w:spacing w:val="-34"/>
                            <w:sz w:val="24"/>
                          </w:rPr>
                          <w:t> </w:t>
                        </w:r>
                        <w:r>
                          <w:rPr>
                            <w:b w:val="0"/>
                            <w:sz w:val="24"/>
                          </w:rPr>
                          <w:t> </w:t>
                        </w:r>
                      </w:p>
                    </w:tc>
                    <w:tc>
                      <w:tcPr>
                        <w:tcW w:w="250" w:type="dxa"/>
                      </w:tcPr>
                      <w:p>
                        <w:pPr>
                          <w:pStyle w:val="TableParagraph"/>
                          <w:spacing w:line="262" w:lineRule="exact"/>
                          <w:ind w:left="18"/>
                          <w:rPr>
                            <w:b w:val="0"/>
                            <w:sz w:val="24"/>
                          </w:rPr>
                        </w:pPr>
                        <w:r>
                          <w:rPr>
                            <w:b w:val="0"/>
                            <w:sz w:val="24"/>
                          </w:rPr>
                          <w:t> </w:t>
                        </w:r>
                      </w:p>
                    </w:tc>
                    <w:tc>
                      <w:tcPr>
                        <w:tcW w:w="1984" w:type="dxa"/>
                      </w:tcPr>
                      <w:p>
                        <w:pPr>
                          <w:pStyle w:val="TableParagraph"/>
                          <w:spacing w:line="262" w:lineRule="exact"/>
                          <w:ind w:right="67"/>
                          <w:jc w:val="right"/>
                          <w:rPr>
                            <w:b w:val="0"/>
                            <w:sz w:val="24"/>
                          </w:rPr>
                        </w:pPr>
                        <w:r>
                          <w:rPr>
                            <w:b w:val="0"/>
                            <w:sz w:val="24"/>
                          </w:rPr>
                          <w:t>   </w:t>
                        </w:r>
                        <w:r>
                          <w:rPr>
                            <w:b w:val="0"/>
                            <w:spacing w:val="-33"/>
                            <w:sz w:val="24"/>
                          </w:rPr>
                          <w:t> </w:t>
                        </w:r>
                        <w:r>
                          <w:rPr>
                            <w:b w:val="0"/>
                            <w:spacing w:val="11"/>
                            <w:sz w:val="24"/>
                          </w:rPr>
                          <w:t>５０００万円</w:t>
                        </w:r>
                        <w:r>
                          <w:rPr>
                            <w:b w:val="0"/>
                            <w:sz w:val="24"/>
                          </w:rPr>
                          <w:t> </w:t>
                        </w:r>
                      </w:p>
                    </w:tc>
                  </w:tr>
                  <w:tr>
                    <w:trPr>
                      <w:trHeight w:val="685" w:hRule="atLeast"/>
                    </w:trPr>
                    <w:tc>
                      <w:tcPr>
                        <w:tcW w:w="3221" w:type="dxa"/>
                        <w:tcBorders>
                          <w:bottom w:val="single" w:sz="4" w:space="0" w:color="000000"/>
                        </w:tcBorders>
                      </w:tcPr>
                      <w:p>
                        <w:pPr>
                          <w:pStyle w:val="TableParagraph"/>
                          <w:spacing w:line="392" w:lineRule="exact"/>
                          <w:ind w:right="127"/>
                          <w:jc w:val="right"/>
                          <w:rPr>
                            <w:b w:val="0"/>
                            <w:sz w:val="24"/>
                          </w:rPr>
                        </w:pPr>
                        <w:r>
                          <w:rPr>
                            <w:b w:val="0"/>
                            <w:sz w:val="24"/>
                          </w:rPr>
                          <w:t>６款‐ＳＤＧｓ推進事業費 </w:t>
                        </w:r>
                      </w:p>
                    </w:tc>
                    <w:tc>
                      <w:tcPr>
                        <w:tcW w:w="589" w:type="dxa"/>
                      </w:tcPr>
                      <w:p>
                        <w:pPr>
                          <w:pStyle w:val="TableParagraph"/>
                          <w:spacing w:line="392" w:lineRule="exact"/>
                          <w:ind w:left="140"/>
                          <w:jc w:val="left"/>
                          <w:rPr>
                            <w:b w:val="0"/>
                            <w:sz w:val="24"/>
                          </w:rPr>
                        </w:pPr>
                        <w:r>
                          <w:rPr>
                            <w:b w:val="0"/>
                            <w:sz w:val="24"/>
                          </w:rPr>
                          <w:t> </w:t>
                        </w:r>
                      </w:p>
                    </w:tc>
                    <w:tc>
                      <w:tcPr>
                        <w:tcW w:w="840" w:type="dxa"/>
                      </w:tcPr>
                      <w:p>
                        <w:pPr>
                          <w:pStyle w:val="TableParagraph"/>
                          <w:spacing w:line="392" w:lineRule="exact"/>
                          <w:ind w:left="10"/>
                          <w:rPr>
                            <w:b w:val="0"/>
                            <w:sz w:val="24"/>
                          </w:rPr>
                        </w:pPr>
                        <w:r>
                          <w:rPr>
                            <w:b w:val="0"/>
                            <w:sz w:val="24"/>
                          </w:rPr>
                          <w:t> </w:t>
                        </w:r>
                      </w:p>
                    </w:tc>
                    <w:tc>
                      <w:tcPr>
                        <w:tcW w:w="863" w:type="dxa"/>
                      </w:tcPr>
                      <w:p>
                        <w:pPr>
                          <w:pStyle w:val="TableParagraph"/>
                          <w:spacing w:line="307" w:lineRule="exact"/>
                          <w:ind w:right="9"/>
                          <w:rPr>
                            <w:b w:val="0"/>
                            <w:sz w:val="24"/>
                          </w:rPr>
                        </w:pPr>
                        <w:r>
                          <w:rPr>
                            <w:b w:val="0"/>
                            <w:sz w:val="24"/>
                          </w:rPr>
                          <w:t> </w:t>
                        </w:r>
                      </w:p>
                      <w:p>
                        <w:pPr>
                          <w:pStyle w:val="TableParagraph"/>
                          <w:spacing w:line="359" w:lineRule="exact"/>
                          <w:ind w:left="67"/>
                          <w:rPr>
                            <w:b w:val="0"/>
                            <w:sz w:val="28"/>
                          </w:rPr>
                        </w:pPr>
                        <w:r>
                          <w:rPr>
                            <w:b w:val="0"/>
                            <w:color w:val="ED0000"/>
                            <w:w w:val="100"/>
                            <w:sz w:val="28"/>
                          </w:rPr>
                          <w:t> </w:t>
                        </w:r>
                      </w:p>
                    </w:tc>
                    <w:tc>
                      <w:tcPr>
                        <w:tcW w:w="818" w:type="dxa"/>
                      </w:tcPr>
                      <w:p>
                        <w:pPr>
                          <w:pStyle w:val="TableParagraph"/>
                          <w:spacing w:line="392" w:lineRule="exact"/>
                          <w:ind w:right="10"/>
                          <w:rPr>
                            <w:b w:val="0"/>
                            <w:sz w:val="24"/>
                          </w:rPr>
                        </w:pPr>
                        <w:r>
                          <w:rPr>
                            <w:b w:val="0"/>
                            <w:sz w:val="24"/>
                          </w:rPr>
                          <w:t> </w:t>
                        </w:r>
                      </w:p>
                    </w:tc>
                    <w:tc>
                      <w:tcPr>
                        <w:tcW w:w="1151" w:type="dxa"/>
                      </w:tcPr>
                      <w:p>
                        <w:pPr>
                          <w:pStyle w:val="TableParagraph"/>
                          <w:spacing w:line="392" w:lineRule="exact"/>
                          <w:ind w:right="299"/>
                          <w:rPr>
                            <w:b w:val="0"/>
                            <w:sz w:val="24"/>
                          </w:rPr>
                        </w:pPr>
                        <w:r>
                          <w:rPr>
                            <w:b w:val="0"/>
                            <w:sz w:val="24"/>
                          </w:rPr>
                          <w:t> </w:t>
                        </w:r>
                      </w:p>
                    </w:tc>
                    <w:tc>
                      <w:tcPr>
                        <w:tcW w:w="250" w:type="dxa"/>
                      </w:tcPr>
                      <w:p>
                        <w:pPr>
                          <w:pStyle w:val="TableParagraph"/>
                          <w:spacing w:line="392" w:lineRule="exact"/>
                          <w:ind w:right="19"/>
                          <w:rPr>
                            <w:b w:val="0"/>
                            <w:sz w:val="24"/>
                          </w:rPr>
                        </w:pPr>
                        <w:r>
                          <w:rPr>
                            <w:b w:val="0"/>
                            <w:sz w:val="24"/>
                          </w:rPr>
                          <w:t> </w:t>
                        </w:r>
                      </w:p>
                    </w:tc>
                    <w:tc>
                      <w:tcPr>
                        <w:tcW w:w="1984" w:type="dxa"/>
                      </w:tcPr>
                      <w:p>
                        <w:pPr>
                          <w:pStyle w:val="TableParagraph"/>
                          <w:spacing w:line="392" w:lineRule="exact"/>
                          <w:ind w:right="43"/>
                          <w:jc w:val="right"/>
                          <w:rPr>
                            <w:b w:val="0"/>
                            <w:sz w:val="24"/>
                          </w:rPr>
                        </w:pPr>
                        <w:r>
                          <w:rPr>
                            <w:b w:val="0"/>
                            <w:sz w:val="24"/>
                          </w:rPr>
                          <w:t>２００万円 </w:t>
                        </w:r>
                      </w:p>
                    </w:tc>
                  </w:tr>
                  <w:tr>
                    <w:trPr>
                      <w:trHeight w:val="347" w:hRule="atLeast"/>
                    </w:trPr>
                    <w:tc>
                      <w:tcPr>
                        <w:tcW w:w="3221" w:type="dxa"/>
                        <w:tcBorders>
                          <w:top w:val="single" w:sz="4" w:space="0" w:color="000000"/>
                          <w:left w:val="single" w:sz="4" w:space="0" w:color="000000"/>
                          <w:bottom w:val="single" w:sz="4" w:space="0" w:color="000000"/>
                        </w:tcBorders>
                      </w:tcPr>
                      <w:p>
                        <w:pPr>
                          <w:pStyle w:val="TableParagraph"/>
                          <w:spacing w:line="328" w:lineRule="exact"/>
                          <w:ind w:right="104"/>
                          <w:jc w:val="right"/>
                          <w:rPr>
                            <w:b w:val="0"/>
                            <w:sz w:val="28"/>
                          </w:rPr>
                        </w:pPr>
                        <w:r>
                          <w:rPr>
                            <w:b w:val="0"/>
                            <w:sz w:val="28"/>
                          </w:rPr>
                          <w:t>宗務総長演説より(抜粋) </w:t>
                        </w:r>
                      </w:p>
                    </w:tc>
                    <w:tc>
                      <w:tcPr>
                        <w:tcW w:w="6495" w:type="dxa"/>
                        <w:gridSpan w:val="7"/>
                      </w:tcPr>
                      <w:p>
                        <w:pPr>
                          <w:pStyle w:val="TableParagraph"/>
                          <w:spacing w:line="240" w:lineRule="auto"/>
                          <w:jc w:val="left"/>
                          <w:rPr>
                            <w:rFonts w:ascii="Times New Roman"/>
                            <w:sz w:val="24"/>
                          </w:rPr>
                        </w:pPr>
                      </w:p>
                    </w:tc>
                  </w:tr>
                </w:tbl>
                <w:p>
                  <w:pPr>
                    <w:pStyle w:val="BodyText"/>
                  </w:pPr>
                </w:p>
              </w:txbxContent>
            </v:textbox>
            <w10:wrap type="none"/>
          </v:shape>
        </w:pict>
      </w:r>
      <w:r>
        <w:rPr>
          <w:b w:val="0"/>
        </w:rPr>
        <w:t>○一般会計歳出臨時部予算額 </w:t>
        <w:tab/>
      </w:r>
      <w:r>
        <w:rPr>
          <w:b w:val="0"/>
          <w:w w:val="100"/>
        </w:rPr>
        <w:t> </w:t>
      </w:r>
      <w:r>
        <w:rPr>
          <w:b w:val="0"/>
        </w:rPr>
        <w:tab/>
        <w:t>６４００万円（内訳） </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5"/>
        <w:rPr>
          <w:b w:val="0"/>
          <w:sz w:val="29"/>
        </w:rPr>
      </w:pPr>
      <w:r>
        <w:rPr/>
        <w:pict>
          <v:rect style="position:absolute;margin-left:202.25pt;margin-top:29.973154pt;width:.48pt;height:17.4pt;mso-position-horizontal-relative:page;mso-position-vertical-relative:paragraph;z-index:-15727104;mso-wrap-distance-left:0;mso-wrap-distance-right:0" filled="true" fillcolor="#000000" stroked="false">
            <v:fill type="solid"/>
            <w10:wrap type="topAndBottom"/>
          </v:rect>
        </w:pict>
      </w:r>
    </w:p>
    <w:p>
      <w:pPr>
        <w:pStyle w:val="BodyText"/>
        <w:spacing w:line="262" w:lineRule="exact"/>
        <w:ind w:left="100"/>
        <w:rPr>
          <w:b w:val="0"/>
        </w:rPr>
      </w:pPr>
      <w:r>
        <w:rPr>
          <w:b w:val="0"/>
        </w:rPr>
        <w:t>〇曹洞宗所有不動産再開発推進委員会について </w:t>
      </w:r>
    </w:p>
    <w:p>
      <w:pPr>
        <w:pStyle w:val="ListParagraph"/>
        <w:numPr>
          <w:ilvl w:val="0"/>
          <w:numId w:val="1"/>
        </w:numPr>
        <w:tabs>
          <w:tab w:pos="528" w:val="left" w:leader="none"/>
        </w:tabs>
        <w:spacing w:line="160" w:lineRule="auto" w:before="27" w:after="0"/>
        <w:ind w:left="527" w:right="515" w:hanging="144"/>
        <w:jc w:val="left"/>
        <w:rPr>
          <w:b w:val="0"/>
          <w:sz w:val="24"/>
        </w:rPr>
      </w:pPr>
      <w:r>
        <w:rPr>
          <w:b w:val="0"/>
          <w:sz w:val="24"/>
        </w:rPr>
        <w:t>㈱インデックスコンサルティングとの契約に関して、委託先代表者の委員就任については、本宗弁護士から開発主体とならないため利益相反がないとの見解である。 </w:t>
      </w:r>
    </w:p>
    <w:p>
      <w:pPr>
        <w:pStyle w:val="ListParagraph"/>
        <w:numPr>
          <w:ilvl w:val="0"/>
          <w:numId w:val="1"/>
        </w:numPr>
        <w:tabs>
          <w:tab w:pos="528" w:val="left" w:leader="none"/>
        </w:tabs>
        <w:spacing w:line="158" w:lineRule="auto" w:before="1" w:after="0"/>
        <w:ind w:left="527" w:right="607" w:hanging="144"/>
        <w:jc w:val="left"/>
        <w:rPr>
          <w:b w:val="0"/>
          <w:sz w:val="24"/>
        </w:rPr>
      </w:pPr>
      <w:r>
        <w:rPr>
          <w:b w:val="0"/>
          <w:spacing w:val="-2"/>
          <w:sz w:val="24"/>
        </w:rPr>
        <w:t>再開発原資として約 </w:t>
      </w:r>
      <w:r>
        <w:rPr>
          <w:b w:val="0"/>
          <w:sz w:val="24"/>
        </w:rPr>
        <w:t>58</w:t>
      </w:r>
      <w:r>
        <w:rPr>
          <w:b w:val="0"/>
          <w:spacing w:val="-4"/>
          <w:sz w:val="24"/>
        </w:rPr>
        <w:t> 億円が捻出可能だが、将来の宗門財政や不測の事態への備えを</w:t>
      </w:r>
      <w:r>
        <w:rPr>
          <w:b w:val="0"/>
          <w:sz w:val="24"/>
        </w:rPr>
        <w:t>考慮し、自己資金の投入や借入金への依存は極力避けるべきとの判断をした。 </w:t>
      </w:r>
    </w:p>
    <w:p>
      <w:pPr>
        <w:pStyle w:val="ListParagraph"/>
        <w:numPr>
          <w:ilvl w:val="0"/>
          <w:numId w:val="1"/>
        </w:numPr>
        <w:tabs>
          <w:tab w:pos="528" w:val="left" w:leader="none"/>
        </w:tabs>
        <w:spacing w:line="160" w:lineRule="auto" w:before="1" w:after="0"/>
        <w:ind w:left="527" w:right="516" w:hanging="144"/>
        <w:jc w:val="left"/>
        <w:rPr>
          <w:b w:val="0"/>
          <w:sz w:val="24"/>
        </w:rPr>
      </w:pPr>
      <w:r>
        <w:rPr>
          <w:b w:val="0"/>
          <w:spacing w:val="-1"/>
          <w:sz w:val="24"/>
        </w:rPr>
        <w:t>老朽化が著しい現状と、将来的な宗門の人口減少・収入減を見据え、港区の一等地であ</w:t>
      </w:r>
      <w:r>
        <w:rPr>
          <w:b w:val="0"/>
          <w:sz w:val="24"/>
        </w:rPr>
        <w:t>る所有不動産を最大限有効活用する必要がある。 </w:t>
      </w:r>
    </w:p>
    <w:p>
      <w:pPr>
        <w:pStyle w:val="ListParagraph"/>
        <w:numPr>
          <w:ilvl w:val="0"/>
          <w:numId w:val="1"/>
        </w:numPr>
        <w:tabs>
          <w:tab w:pos="540" w:val="left" w:leader="none"/>
        </w:tabs>
        <w:spacing w:line="160" w:lineRule="auto" w:before="0" w:after="0"/>
        <w:ind w:left="539" w:right="484" w:hanging="156"/>
        <w:jc w:val="left"/>
        <w:rPr>
          <w:b w:val="0"/>
          <w:sz w:val="24"/>
        </w:rPr>
      </w:pPr>
      <w:r>
        <w:rPr>
          <w:b w:val="0"/>
          <w:spacing w:val="-2"/>
          <w:sz w:val="24"/>
        </w:rPr>
        <w:t>委員会において </w:t>
      </w:r>
      <w:r>
        <w:rPr>
          <w:b w:val="0"/>
          <w:sz w:val="24"/>
        </w:rPr>
        <w:t>PM</w:t>
      </w:r>
      <w:r>
        <w:rPr>
          <w:b w:val="0"/>
          <w:spacing w:val="-4"/>
          <w:sz w:val="24"/>
        </w:rPr>
        <w:t> からの提案・助言を基に検討の結果、内局として「定期借地権」を</w:t>
      </w:r>
      <w:r>
        <w:rPr>
          <w:b w:val="0"/>
          <w:sz w:val="24"/>
        </w:rPr>
        <w:t>利用した開発手法が最良であると考える。 </w:t>
      </w:r>
    </w:p>
    <w:p>
      <w:pPr>
        <w:pStyle w:val="BodyText"/>
        <w:spacing w:line="272" w:lineRule="exact"/>
        <w:ind w:left="100"/>
        <w:rPr>
          <w:b w:val="0"/>
        </w:rPr>
      </w:pPr>
      <w:r>
        <w:rPr>
          <w:b w:val="0"/>
        </w:rPr>
        <w:t>〇建て替えに伴う宗務庁の仮移転候補地について </w:t>
      </w:r>
    </w:p>
    <w:p>
      <w:pPr>
        <w:pStyle w:val="ListParagraph"/>
        <w:numPr>
          <w:ilvl w:val="0"/>
          <w:numId w:val="1"/>
        </w:numPr>
        <w:tabs>
          <w:tab w:pos="540" w:val="left" w:leader="none"/>
        </w:tabs>
        <w:spacing w:line="158" w:lineRule="auto" w:before="28" w:after="0"/>
        <w:ind w:left="539" w:right="488" w:hanging="156"/>
        <w:jc w:val="left"/>
        <w:rPr>
          <w:b w:val="0"/>
          <w:sz w:val="24"/>
        </w:rPr>
      </w:pPr>
      <w:r>
        <w:rPr>
          <w:b w:val="0"/>
          <w:sz w:val="24"/>
        </w:rPr>
        <w:t>ソートービル建替に伴う仮移転先は、施設要件や港区近郊の賃料高騰（</w:t>
      </w:r>
      <w:r>
        <w:rPr>
          <w:b w:val="0"/>
          <w:spacing w:val="-5"/>
          <w:sz w:val="24"/>
        </w:rPr>
        <w:t>年約 </w:t>
      </w:r>
      <w:r>
        <w:rPr>
          <w:b w:val="0"/>
          <w:sz w:val="24"/>
        </w:rPr>
        <w:t>4</w:t>
      </w:r>
      <w:r>
        <w:rPr>
          <w:b w:val="0"/>
          <w:spacing w:val="-5"/>
          <w:sz w:val="24"/>
        </w:rPr>
        <w:t> 億円</w:t>
      </w:r>
      <w:r>
        <w:rPr>
          <w:b w:val="0"/>
          <w:sz w:val="24"/>
        </w:rPr>
        <w:t>）を考慮し、最適地である「鶴見大学会館」を候補と判断した。</w:t>
      </w:r>
      <w:r>
        <w:rPr>
          <w:b w:val="0"/>
          <w:spacing w:val="51"/>
          <w:sz w:val="24"/>
        </w:rPr>
        <w:t> </w:t>
      </w:r>
      <w:r>
        <w:rPr>
          <w:b w:val="0"/>
          <w:sz w:val="24"/>
        </w:rPr>
        <w:t> </w:t>
      </w:r>
      <w:r>
        <w:rPr>
          <w:b w:val="0"/>
          <w:spacing w:val="-17"/>
          <w:sz w:val="24"/>
        </w:rPr>
        <w:t> </w:t>
      </w:r>
      <w:r>
        <w:rPr>
          <w:b w:val="0"/>
          <w:sz w:val="24"/>
        </w:rPr>
        <w:t> </w:t>
      </w:r>
    </w:p>
    <w:p>
      <w:pPr>
        <w:pStyle w:val="ListParagraph"/>
        <w:numPr>
          <w:ilvl w:val="0"/>
          <w:numId w:val="1"/>
        </w:numPr>
        <w:tabs>
          <w:tab w:pos="540" w:val="left" w:leader="none"/>
        </w:tabs>
        <w:spacing w:line="160" w:lineRule="auto" w:before="4" w:after="0"/>
        <w:ind w:left="539" w:right="504" w:hanging="156"/>
        <w:jc w:val="left"/>
        <w:rPr>
          <w:b w:val="0"/>
          <w:sz w:val="24"/>
        </w:rPr>
      </w:pPr>
      <w:r>
        <w:rPr>
          <w:b w:val="0"/>
          <w:spacing w:val="-1"/>
          <w:sz w:val="24"/>
        </w:rPr>
        <w:t>現在、学校法人と条件交渉中だが、今次宗議会にはまず候補地選定の件を上程し、ご承</w:t>
      </w:r>
      <w:r>
        <w:rPr>
          <w:b w:val="0"/>
          <w:sz w:val="24"/>
        </w:rPr>
        <w:t>認を得て詳細な契約準備を進めたい。 </w:t>
      </w:r>
    </w:p>
    <w:p>
      <w:pPr>
        <w:pStyle w:val="ListParagraph"/>
        <w:numPr>
          <w:ilvl w:val="0"/>
          <w:numId w:val="1"/>
        </w:numPr>
        <w:tabs>
          <w:tab w:pos="540" w:val="left" w:leader="none"/>
        </w:tabs>
        <w:spacing w:line="158" w:lineRule="auto" w:before="1" w:after="0"/>
        <w:ind w:left="539" w:right="490" w:hanging="156"/>
        <w:jc w:val="left"/>
        <w:rPr>
          <w:b w:val="0"/>
          <w:sz w:val="24"/>
        </w:rPr>
      </w:pPr>
      <w:r>
        <w:rPr>
          <w:b w:val="0"/>
          <w:spacing w:val="-6"/>
          <w:sz w:val="24"/>
        </w:rPr>
        <w:t>次期 </w:t>
      </w:r>
      <w:r>
        <w:rPr>
          <w:b w:val="0"/>
          <w:sz w:val="24"/>
        </w:rPr>
        <w:t>6</w:t>
      </w:r>
      <w:r>
        <w:rPr>
          <w:b w:val="0"/>
          <w:spacing w:val="-4"/>
          <w:sz w:val="24"/>
        </w:rPr>
        <w:t> 月宗議会での正式決定を目指すが、万一交渉等の条件が整わない場合は、移転先</w:t>
      </w:r>
      <w:r>
        <w:rPr>
          <w:b w:val="0"/>
          <w:sz w:val="24"/>
        </w:rPr>
        <w:t>を再考する必要がある。 </w:t>
      </w:r>
    </w:p>
    <w:p>
      <w:pPr>
        <w:pStyle w:val="BodyText"/>
        <w:spacing w:line="277" w:lineRule="exact"/>
        <w:ind w:left="100"/>
        <w:rPr>
          <w:b w:val="0"/>
        </w:rPr>
      </w:pPr>
      <w:r>
        <w:rPr>
          <w:b w:val="0"/>
        </w:rPr>
        <w:t>〇災害援護拠出金について </w:t>
      </w:r>
    </w:p>
    <w:p>
      <w:pPr>
        <w:pStyle w:val="ListParagraph"/>
        <w:numPr>
          <w:ilvl w:val="0"/>
          <w:numId w:val="1"/>
        </w:numPr>
        <w:tabs>
          <w:tab w:pos="540" w:val="left" w:leader="none"/>
        </w:tabs>
        <w:spacing w:line="160" w:lineRule="auto" w:before="26" w:after="0"/>
        <w:ind w:left="539" w:right="623" w:hanging="156"/>
        <w:jc w:val="both"/>
        <w:rPr>
          <w:b w:val="0"/>
          <w:sz w:val="24"/>
        </w:rPr>
      </w:pPr>
      <w:r>
        <w:rPr>
          <w:b w:val="0"/>
          <w:spacing w:val="-4"/>
          <w:sz w:val="24"/>
        </w:rPr>
        <w:t>令和 </w:t>
      </w:r>
      <w:r>
        <w:rPr>
          <w:b w:val="0"/>
          <w:sz w:val="24"/>
        </w:rPr>
        <w:t>8</w:t>
      </w:r>
      <w:r>
        <w:rPr>
          <w:b w:val="0"/>
          <w:spacing w:val="-7"/>
          <w:sz w:val="24"/>
        </w:rPr>
        <w:t> 年 </w:t>
      </w:r>
      <w:r>
        <w:rPr>
          <w:b w:val="0"/>
          <w:sz w:val="24"/>
        </w:rPr>
        <w:t>4</w:t>
      </w:r>
      <w:r>
        <w:rPr>
          <w:b w:val="0"/>
          <w:spacing w:val="-4"/>
          <w:sz w:val="24"/>
        </w:rPr>
        <w:t> 月からの制度変更により、基本拠出金は全寺院一律 </w:t>
      </w:r>
      <w:r>
        <w:rPr>
          <w:b w:val="0"/>
          <w:sz w:val="24"/>
        </w:rPr>
        <w:t>2,500</w:t>
      </w:r>
      <w:r>
        <w:rPr>
          <w:b w:val="0"/>
          <w:spacing w:val="-3"/>
          <w:sz w:val="24"/>
        </w:rPr>
        <w:t> 円に据え置く一</w:t>
      </w:r>
      <w:r>
        <w:rPr>
          <w:b w:val="0"/>
          <w:sz w:val="24"/>
        </w:rPr>
        <w:t>方、付加拠出金は毎年見直すことになった。 付加拠出金の単価は、次年度の損害保険料や建物共済加入口数に応じて変動する仕組みとなる。 </w:t>
      </w:r>
    </w:p>
    <w:p>
      <w:pPr>
        <w:pStyle w:val="BodyText"/>
        <w:spacing w:line="270" w:lineRule="exact"/>
        <w:ind w:left="100"/>
        <w:rPr>
          <w:b w:val="0"/>
        </w:rPr>
      </w:pPr>
      <w:r>
        <w:rPr>
          <w:b w:val="0"/>
          <w:spacing w:val="-1"/>
        </w:rPr>
        <w:t>〇僧堂関係について</w:t>
      </w:r>
      <w:r>
        <w:rPr>
          <w:b w:val="0"/>
        </w:rPr>
        <w:t> </w:t>
      </w:r>
    </w:p>
    <w:p>
      <w:pPr>
        <w:pStyle w:val="ListParagraph"/>
        <w:numPr>
          <w:ilvl w:val="0"/>
          <w:numId w:val="1"/>
        </w:numPr>
        <w:tabs>
          <w:tab w:pos="540" w:val="left" w:leader="none"/>
        </w:tabs>
        <w:spacing w:line="158" w:lineRule="auto" w:before="31" w:after="0"/>
        <w:ind w:left="100" w:right="434" w:firstLine="283"/>
        <w:jc w:val="left"/>
        <w:rPr>
          <w:b w:val="0"/>
          <w:sz w:val="24"/>
        </w:rPr>
      </w:pPr>
      <w:r>
        <w:rPr>
          <w:b w:val="0"/>
          <w:sz w:val="24"/>
        </w:rPr>
        <w:t>僧堂における不祥事発生時の初期対応マニュアルを顧問弁護士の監修のもと作成した。〇青少年書道展 </w:t>
      </w:r>
    </w:p>
    <w:p>
      <w:pPr>
        <w:pStyle w:val="ListParagraph"/>
        <w:numPr>
          <w:ilvl w:val="0"/>
          <w:numId w:val="1"/>
        </w:numPr>
        <w:tabs>
          <w:tab w:pos="528" w:val="left" w:leader="none"/>
        </w:tabs>
        <w:spacing w:line="160" w:lineRule="auto" w:before="3" w:after="0"/>
        <w:ind w:left="527" w:right="515" w:hanging="144"/>
        <w:jc w:val="left"/>
        <w:rPr>
          <w:b w:val="0"/>
          <w:sz w:val="24"/>
        </w:rPr>
      </w:pPr>
      <w:r>
        <w:rPr>
          <w:b w:val="0"/>
          <w:sz w:val="24"/>
        </w:rPr>
        <w:t>本年６０回むかえ記念大会として文部科学省、㈱よみうりランドに後援を頂けることになった。表彰式も鶴見中学校・高校記念講堂において執り行う。 </w:t>
      </w:r>
    </w:p>
    <w:p>
      <w:pPr>
        <w:pStyle w:val="BodyText"/>
        <w:spacing w:line="272" w:lineRule="exact"/>
        <w:ind w:left="100"/>
        <w:rPr>
          <w:b w:val="0"/>
        </w:rPr>
      </w:pPr>
      <w:r>
        <w:rPr>
          <w:b w:val="0"/>
        </w:rPr>
        <w:t>〇梅花流創立７５周年記念奉賛大会 </w:t>
      </w:r>
    </w:p>
    <w:p>
      <w:pPr>
        <w:pStyle w:val="ListParagraph"/>
        <w:numPr>
          <w:ilvl w:val="0"/>
          <w:numId w:val="1"/>
        </w:numPr>
        <w:tabs>
          <w:tab w:pos="528" w:val="left" w:leader="none"/>
        </w:tabs>
        <w:spacing w:line="160" w:lineRule="auto" w:before="26" w:after="0"/>
        <w:ind w:left="527" w:right="515" w:hanging="188"/>
        <w:jc w:val="left"/>
        <w:rPr>
          <w:b w:val="0"/>
          <w:sz w:val="24"/>
        </w:rPr>
      </w:pPr>
      <w:r>
        <w:rPr>
          <w:b w:val="0"/>
          <w:sz w:val="24"/>
        </w:rPr>
        <w:t>検討を重ねた結果令和９年５月２６日の一日開催として、会場候補地を「東京ガーデンシアター」に決定した。 </w:t>
      </w:r>
    </w:p>
    <w:p>
      <w:pPr>
        <w:pStyle w:val="BodyText"/>
        <w:spacing w:line="272" w:lineRule="exact"/>
        <w:ind w:left="100"/>
        <w:rPr>
          <w:b w:val="0"/>
        </w:rPr>
      </w:pPr>
      <w:r>
        <w:rPr>
          <w:b w:val="0"/>
        </w:rPr>
        <w:t>〇人権擁護推進本部関係について </w:t>
      </w:r>
    </w:p>
    <w:p>
      <w:pPr>
        <w:pStyle w:val="ListParagraph"/>
        <w:numPr>
          <w:ilvl w:val="0"/>
          <w:numId w:val="1"/>
        </w:numPr>
        <w:tabs>
          <w:tab w:pos="528" w:val="left" w:leader="none"/>
        </w:tabs>
        <w:spacing w:line="160" w:lineRule="auto" w:before="28" w:after="0"/>
        <w:ind w:left="527" w:right="446" w:hanging="159"/>
        <w:jc w:val="both"/>
        <w:rPr>
          <w:b w:val="0"/>
          <w:sz w:val="24"/>
        </w:rPr>
      </w:pPr>
      <w:r>
        <w:rPr>
          <w:b w:val="0"/>
          <w:sz w:val="24"/>
        </w:rPr>
        <w:t>本年度の新規事業としてポッドキャストの配信をする。タイトルは「わわわ」とした。タイトルの由来は人権と言う主題を巡る「話」が耳から入りそれが人々の「和」を醸成し、やがて大きな「輪」となると言う願いを込めている。 </w:t>
      </w:r>
    </w:p>
    <w:p>
      <w:pPr>
        <w:pStyle w:val="BodyText"/>
        <w:rPr>
          <w:b w:val="0"/>
          <w:sz w:val="20"/>
        </w:rPr>
      </w:pPr>
    </w:p>
    <w:p>
      <w:pPr>
        <w:pStyle w:val="BodyText"/>
        <w:spacing w:before="3"/>
        <w:rPr>
          <w:b w:val="0"/>
          <w:sz w:val="22"/>
        </w:rPr>
      </w:pPr>
    </w:p>
    <w:p>
      <w:pPr>
        <w:pStyle w:val="BodyText"/>
        <w:spacing w:before="3"/>
        <w:ind w:right="338"/>
        <w:jc w:val="center"/>
        <w:rPr>
          <w:b w:val="0"/>
        </w:rPr>
      </w:pPr>
      <w:r>
        <w:rPr>
          <w:b w:val="0"/>
          <w:spacing w:val="-1"/>
        </w:rPr>
        <w:t>【詳しくは有道会ホームぺージ・曹洞宗報 </w:t>
      </w:r>
      <w:r>
        <w:rPr>
          <w:b w:val="0"/>
        </w:rPr>
        <w:t>5</w:t>
      </w:r>
      <w:r>
        <w:rPr>
          <w:b w:val="0"/>
          <w:spacing w:val="-3"/>
        </w:rPr>
        <w:t> 月号をご参照ください】</w:t>
      </w:r>
    </w:p>
    <w:sectPr>
      <w:pgSz w:w="11910" w:h="16840"/>
      <w:pgMar w:top="1040" w:bottom="280" w:left="9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游ゴシック Medium">
    <w:altName w:val="游ゴシック Medium"/>
    <w:charset w:val="80"/>
    <w:family w:val="moder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27" w:hanging="144"/>
      </w:pPr>
      <w:rPr>
        <w:rFonts w:hint="default" w:ascii="Wingdings" w:hAnsi="Wingdings" w:eastAsia="Wingdings" w:cs="Wingdings"/>
        <w:w w:val="100"/>
        <w:sz w:val="24"/>
        <w:szCs w:val="24"/>
        <w:lang w:val="en-US" w:eastAsia="ja-JP" w:bidi="ar-SA"/>
      </w:rPr>
    </w:lvl>
    <w:lvl w:ilvl="1">
      <w:start w:val="0"/>
      <w:numFmt w:val="bullet"/>
      <w:lvlText w:val="•"/>
      <w:lvlJc w:val="left"/>
      <w:pPr>
        <w:ind w:left="1508" w:hanging="144"/>
      </w:pPr>
      <w:rPr>
        <w:rFonts w:hint="default"/>
        <w:lang w:val="en-US" w:eastAsia="ja-JP" w:bidi="ar-SA"/>
      </w:rPr>
    </w:lvl>
    <w:lvl w:ilvl="2">
      <w:start w:val="0"/>
      <w:numFmt w:val="bullet"/>
      <w:lvlText w:val="•"/>
      <w:lvlJc w:val="left"/>
      <w:pPr>
        <w:ind w:left="2497" w:hanging="144"/>
      </w:pPr>
      <w:rPr>
        <w:rFonts w:hint="default"/>
        <w:lang w:val="en-US" w:eastAsia="ja-JP" w:bidi="ar-SA"/>
      </w:rPr>
    </w:lvl>
    <w:lvl w:ilvl="3">
      <w:start w:val="0"/>
      <w:numFmt w:val="bullet"/>
      <w:lvlText w:val="•"/>
      <w:lvlJc w:val="left"/>
      <w:pPr>
        <w:ind w:left="3485" w:hanging="144"/>
      </w:pPr>
      <w:rPr>
        <w:rFonts w:hint="default"/>
        <w:lang w:val="en-US" w:eastAsia="ja-JP" w:bidi="ar-SA"/>
      </w:rPr>
    </w:lvl>
    <w:lvl w:ilvl="4">
      <w:start w:val="0"/>
      <w:numFmt w:val="bullet"/>
      <w:lvlText w:val="•"/>
      <w:lvlJc w:val="left"/>
      <w:pPr>
        <w:ind w:left="4474" w:hanging="144"/>
      </w:pPr>
      <w:rPr>
        <w:rFonts w:hint="default"/>
        <w:lang w:val="en-US" w:eastAsia="ja-JP" w:bidi="ar-SA"/>
      </w:rPr>
    </w:lvl>
    <w:lvl w:ilvl="5">
      <w:start w:val="0"/>
      <w:numFmt w:val="bullet"/>
      <w:lvlText w:val="•"/>
      <w:lvlJc w:val="left"/>
      <w:pPr>
        <w:ind w:left="5463" w:hanging="144"/>
      </w:pPr>
      <w:rPr>
        <w:rFonts w:hint="default"/>
        <w:lang w:val="en-US" w:eastAsia="ja-JP" w:bidi="ar-SA"/>
      </w:rPr>
    </w:lvl>
    <w:lvl w:ilvl="6">
      <w:start w:val="0"/>
      <w:numFmt w:val="bullet"/>
      <w:lvlText w:val="•"/>
      <w:lvlJc w:val="left"/>
      <w:pPr>
        <w:ind w:left="6451" w:hanging="144"/>
      </w:pPr>
      <w:rPr>
        <w:rFonts w:hint="default"/>
        <w:lang w:val="en-US" w:eastAsia="ja-JP" w:bidi="ar-SA"/>
      </w:rPr>
    </w:lvl>
    <w:lvl w:ilvl="7">
      <w:start w:val="0"/>
      <w:numFmt w:val="bullet"/>
      <w:lvlText w:val="•"/>
      <w:lvlJc w:val="left"/>
      <w:pPr>
        <w:ind w:left="7440" w:hanging="144"/>
      </w:pPr>
      <w:rPr>
        <w:rFonts w:hint="default"/>
        <w:lang w:val="en-US" w:eastAsia="ja-JP" w:bidi="ar-SA"/>
      </w:rPr>
    </w:lvl>
    <w:lvl w:ilvl="8">
      <w:start w:val="0"/>
      <w:numFmt w:val="bullet"/>
      <w:lvlText w:val="•"/>
      <w:lvlJc w:val="left"/>
      <w:pPr>
        <w:ind w:left="8429" w:hanging="144"/>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游ゴシック Medium" w:hAnsi="游ゴシック Medium" w:eastAsia="游ゴシック Medium" w:cs="游ゴシック Medium"/>
      <w:lang w:val="en-US" w:eastAsia="ja-JP" w:bidi="ar-SA"/>
    </w:rPr>
  </w:style>
  <w:style w:styleId="BodyText" w:type="paragraph">
    <w:name w:val="Body Text"/>
    <w:basedOn w:val="Normal"/>
    <w:uiPriority w:val="1"/>
    <w:qFormat/>
    <w:pPr/>
    <w:rPr>
      <w:rFonts w:ascii="游ゴシック Medium" w:hAnsi="游ゴシック Medium" w:eastAsia="游ゴシック Medium" w:cs="游ゴシック Medium"/>
      <w:sz w:val="24"/>
      <w:szCs w:val="24"/>
      <w:lang w:val="en-US" w:eastAsia="ja-JP" w:bidi="ar-SA"/>
    </w:rPr>
  </w:style>
  <w:style w:styleId="Heading1" w:type="paragraph">
    <w:name w:val="Heading 1"/>
    <w:basedOn w:val="Normal"/>
    <w:uiPriority w:val="1"/>
    <w:qFormat/>
    <w:pPr>
      <w:spacing w:line="364" w:lineRule="exact"/>
      <w:ind w:left="100"/>
      <w:outlineLvl w:val="1"/>
    </w:pPr>
    <w:rPr>
      <w:rFonts w:ascii="游ゴシック Medium" w:hAnsi="游ゴシック Medium" w:eastAsia="游ゴシック Medium" w:cs="游ゴシック Medium"/>
      <w:sz w:val="28"/>
      <w:szCs w:val="28"/>
      <w:lang w:val="en-US" w:eastAsia="ja-JP" w:bidi="ar-SA"/>
    </w:rPr>
  </w:style>
  <w:style w:styleId="Title" w:type="paragraph">
    <w:name w:val="Title"/>
    <w:basedOn w:val="Normal"/>
    <w:uiPriority w:val="1"/>
    <w:qFormat/>
    <w:pPr>
      <w:spacing w:line="607" w:lineRule="exact"/>
      <w:ind w:right="235"/>
      <w:jc w:val="center"/>
    </w:pPr>
    <w:rPr>
      <w:rFonts w:ascii="游ゴシック Medium" w:hAnsi="游ゴシック Medium" w:eastAsia="游ゴシック Medium" w:cs="游ゴシック Medium"/>
      <w:sz w:val="36"/>
      <w:szCs w:val="36"/>
      <w:lang w:val="en-US" w:eastAsia="ja-JP" w:bidi="ar-SA"/>
    </w:rPr>
  </w:style>
  <w:style w:styleId="ListParagraph" w:type="paragraph">
    <w:name w:val="List Paragraph"/>
    <w:basedOn w:val="Normal"/>
    <w:uiPriority w:val="1"/>
    <w:qFormat/>
    <w:pPr>
      <w:spacing w:before="1"/>
      <w:ind w:left="527" w:right="515" w:hanging="156"/>
    </w:pPr>
    <w:rPr>
      <w:rFonts w:ascii="游ゴシック Medium" w:hAnsi="游ゴシック Medium" w:eastAsia="游ゴシック Medium" w:cs="游ゴシック Medium"/>
      <w:lang w:val="en-US" w:eastAsia="ja-JP" w:bidi="ar-SA"/>
    </w:rPr>
  </w:style>
  <w:style w:styleId="TableParagraph" w:type="paragraph">
    <w:name w:val="Table Paragraph"/>
    <w:basedOn w:val="Normal"/>
    <w:uiPriority w:val="1"/>
    <w:qFormat/>
    <w:pPr>
      <w:spacing w:line="263" w:lineRule="exact"/>
      <w:jc w:val="center"/>
    </w:pPr>
    <w:rPr>
      <w:rFonts w:ascii="游ゴシック Medium" w:hAnsi="游ゴシック Medium" w:eastAsia="游ゴシック Medium" w:cs="游ゴシック Medium"/>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広康 太田</dc:creator>
  <dcterms:created xsi:type="dcterms:W3CDTF">2026-02-23T01:21:10Z</dcterms:created>
  <dcterms:modified xsi:type="dcterms:W3CDTF">2026-02-23T01:21:10Z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2021</vt:lpwstr>
  </property>
  <property fmtid="{D5CDD505-2E9C-101B-9397-08002B2CF9AE}" pid="4" name="LastSaved">
    <vt:filetime>2026-02-23T00:00:00Z</vt:filetime>
  </property>
</Properties>
</file>